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RPr="00554B01" w:rsidTr="00D949FD">
        <w:tc>
          <w:tcPr>
            <w:tcW w:w="4785" w:type="dxa"/>
            <w:tcBorders>
              <w:top w:val="nil"/>
              <w:left w:val="nil"/>
              <w:bottom w:val="nil"/>
              <w:right w:val="nil"/>
            </w:tcBorders>
          </w:tcPr>
          <w:p w:rsidR="00AF2419" w:rsidRPr="00554B01" w:rsidRDefault="00AF2419" w:rsidP="000909D3">
            <w:pPr>
              <w:jc w:val="center"/>
              <w:rPr>
                <w:lang w:val="uk-UA"/>
              </w:rPr>
            </w:pPr>
            <w:r w:rsidRPr="00554B01">
              <w:rPr>
                <w:lang w:val="uk-UA"/>
              </w:rPr>
              <w:t xml:space="preserve">ЗАТВЕРДЖЕНО </w:t>
            </w:r>
          </w:p>
          <w:p w:rsidR="00AF2419" w:rsidRPr="00554B01" w:rsidRDefault="00AF2419" w:rsidP="00FB7ACC">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ОБЛАСТІ </w:t>
            </w:r>
            <w:r w:rsidRPr="00554B01">
              <w:rPr>
                <w:lang w:val="uk-UA"/>
              </w:rPr>
              <w:t xml:space="preserve">№ </w:t>
            </w:r>
            <w:r w:rsidR="00FB7ACC" w:rsidRPr="00554B01">
              <w:rPr>
                <w:lang w:val="uk-UA"/>
              </w:rPr>
              <w:t>50</w:t>
            </w:r>
            <w:r w:rsidRPr="00554B01">
              <w:rPr>
                <w:lang w:val="uk-UA"/>
              </w:rPr>
              <w:t xml:space="preserve">  від  </w:t>
            </w:r>
            <w:r w:rsidR="00FB7ACC" w:rsidRPr="00554B01">
              <w:rPr>
                <w:lang w:val="uk-UA"/>
              </w:rPr>
              <w:t>07 листопада</w:t>
            </w:r>
            <w:r w:rsidR="00AB515A" w:rsidRPr="00554B01">
              <w:rPr>
                <w:lang w:val="uk-UA"/>
              </w:rPr>
              <w:t xml:space="preserve"> 2024</w:t>
            </w:r>
            <w:r w:rsidR="008B6BEB" w:rsidRPr="00554B01">
              <w:rPr>
                <w:lang w:val="uk-UA"/>
              </w:rPr>
              <w:t xml:space="preserve"> року</w:t>
            </w:r>
            <w:r w:rsidRPr="00554B01">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Бензин А-9</w:t>
      </w:r>
      <w:r w:rsidR="00C154C7" w:rsidRPr="006104D2">
        <w:rPr>
          <w:b w:val="0"/>
          <w:i/>
          <w:color w:val="000000" w:themeColor="text1"/>
          <w:sz w:val="24"/>
          <w:szCs w:val="24"/>
          <w:lang w:val="ru-RU"/>
        </w:rPr>
        <w:t>5</w:t>
      </w:r>
      <w:r w:rsidR="00CF0075" w:rsidRPr="006104D2">
        <w:rPr>
          <w:i/>
          <w:color w:val="000000" w:themeColor="text1"/>
          <w:sz w:val="24"/>
          <w:szCs w:val="24"/>
          <w:lang w:val="ru-RU"/>
        </w:rPr>
        <w:t xml:space="preserve"> </w:t>
      </w:r>
      <w:r w:rsidR="00DF5222" w:rsidRPr="006104D2">
        <w:rPr>
          <w:b w:val="0"/>
          <w:i/>
          <w:sz w:val="24"/>
          <w:szCs w:val="24"/>
        </w:rPr>
        <w:t>за талонами (</w:t>
      </w:r>
      <w:proofErr w:type="spellStart"/>
      <w:r w:rsidR="00DF5222" w:rsidRPr="006104D2">
        <w:rPr>
          <w:b w:val="0"/>
          <w:i/>
          <w:sz w:val="24"/>
          <w:szCs w:val="24"/>
        </w:rPr>
        <w:t>скретч-картками</w:t>
      </w:r>
      <w:proofErr w:type="spellEnd"/>
      <w:r w:rsidR="00DF5222" w:rsidRPr="006104D2">
        <w:rPr>
          <w:b w:val="0"/>
          <w:i/>
          <w:sz w:val="24"/>
          <w:szCs w:val="24"/>
        </w:rPr>
        <w:t>)</w:t>
      </w:r>
      <w:r w:rsidR="00DF5222"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77487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та завдань, покладених на </w:t>
      </w:r>
      <w:r w:rsidR="008A08C0">
        <w:rPr>
          <w:b w:val="0"/>
          <w:i/>
          <w:sz w:val="24"/>
          <w:szCs w:val="24"/>
        </w:rPr>
        <w:t>ДЕРЖАВНУ ЕКОЛОГІЧНУ ІНСПЕКЦІЮ У ВОЛИНСЬКІЙ ОБЛАСТІ.</w:t>
      </w:r>
    </w:p>
    <w:p w:rsidR="000909D3" w:rsidRPr="00554B01" w:rsidRDefault="000909D3" w:rsidP="00C61D3A">
      <w:pPr>
        <w:numPr>
          <w:ilvl w:val="0"/>
          <w:numId w:val="1"/>
        </w:numPr>
        <w:ind w:left="0" w:firstLine="0"/>
        <w:jc w:val="both"/>
        <w:rPr>
          <w:i/>
          <w:lang w:val="uk-UA"/>
        </w:rPr>
      </w:pPr>
      <w:r w:rsidRPr="00C61D3A">
        <w:rPr>
          <w:b/>
          <w:i/>
          <w:lang w:val="uk-UA"/>
        </w:rPr>
        <w:t xml:space="preserve">Ідентифікатор закупівлі: </w:t>
      </w:r>
      <w:hyperlink r:id="rId5" w:tgtFrame="_blank" w:history="1">
        <w:r w:rsidR="00554B01" w:rsidRPr="00554B01">
          <w:rPr>
            <w:rStyle w:val="a9"/>
            <w:i/>
            <w:color w:val="auto"/>
            <w:bdr w:val="none" w:sz="0" w:space="0" w:color="auto" w:frame="1"/>
          </w:rPr>
          <w:t>UA</w:t>
        </w:r>
        <w:r w:rsidR="00554B01" w:rsidRPr="00554B01">
          <w:rPr>
            <w:rStyle w:val="a9"/>
            <w:i/>
            <w:color w:val="auto"/>
            <w:bdr w:val="none" w:sz="0" w:space="0" w:color="auto" w:frame="1"/>
            <w:lang w:val="uk-UA"/>
          </w:rPr>
          <w:t>-</w:t>
        </w:r>
        <w:r w:rsidR="00554B01" w:rsidRPr="00554B01">
          <w:rPr>
            <w:rStyle w:val="a9"/>
            <w:i/>
            <w:color w:val="auto"/>
            <w:bdr w:val="none" w:sz="0" w:space="0" w:color="auto" w:frame="1"/>
          </w:rPr>
          <w:t>P</w:t>
        </w:r>
        <w:r w:rsidR="00554B01" w:rsidRPr="00554B01">
          <w:rPr>
            <w:rStyle w:val="a9"/>
            <w:i/>
            <w:color w:val="auto"/>
            <w:bdr w:val="none" w:sz="0" w:space="0" w:color="auto" w:frame="1"/>
            <w:lang w:val="uk-UA"/>
          </w:rPr>
          <w:t>-2024-11-08-003846-</w:t>
        </w:r>
        <w:proofErr w:type="spellStart"/>
        <w:r w:rsidR="00554B01" w:rsidRPr="00554B01">
          <w:rPr>
            <w:rStyle w:val="a9"/>
            <w:i/>
            <w:color w:val="auto"/>
            <w:bdr w:val="none" w:sz="0" w:space="0" w:color="auto" w:frame="1"/>
          </w:rPr>
          <w:t>a</w:t>
        </w:r>
        <w:proofErr w:type="spellEnd"/>
      </w:hyperlink>
      <w:r w:rsidR="008B6BEB" w:rsidRPr="00554B01">
        <w:rPr>
          <w:i/>
          <w:lang w:val="uk-UA"/>
        </w:rPr>
        <w:t>.</w:t>
      </w:r>
    </w:p>
    <w:p w:rsidR="000A1DC7" w:rsidRDefault="000A1DC7" w:rsidP="000A1DC7">
      <w:pPr>
        <w:numPr>
          <w:ilvl w:val="0"/>
          <w:numId w:val="1"/>
        </w:numPr>
        <w:ind w:left="0" w:firstLine="0"/>
        <w:jc w:val="both"/>
        <w:rPr>
          <w:i/>
          <w:lang w:val="uk-UA"/>
        </w:rPr>
      </w:pPr>
      <w:proofErr w:type="spellStart"/>
      <w:r>
        <w:rPr>
          <w:b/>
          <w:i/>
          <w:lang w:val="uk-UA"/>
        </w:rPr>
        <w:t>Обгрунтування</w:t>
      </w:r>
      <w:proofErr w:type="spellEnd"/>
      <w:r>
        <w:rPr>
          <w:b/>
          <w:i/>
          <w:lang w:val="uk-UA"/>
        </w:rPr>
        <w:t xml:space="preserve"> обсягів закупівлі:</w:t>
      </w:r>
      <w:r>
        <w:rPr>
          <w:i/>
          <w:lang w:val="uk-UA"/>
        </w:rPr>
        <w:t xml:space="preserve"> </w:t>
      </w:r>
      <w:r w:rsidRPr="00504559">
        <w:rPr>
          <w:i/>
          <w:lang w:val="uk-UA"/>
        </w:rPr>
        <w:t>Обсяги визначено відповідно до очікуваної потреби</w:t>
      </w:r>
      <w:r w:rsidR="005748B8" w:rsidRPr="005748B8">
        <w:t xml:space="preserve"> </w:t>
      </w:r>
      <w:proofErr w:type="spellStart"/>
      <w:r w:rsidR="005748B8" w:rsidRPr="005141F4">
        <w:rPr>
          <w:i/>
          <w:color w:val="000000" w:themeColor="text1"/>
        </w:rPr>
        <w:t>використання</w:t>
      </w:r>
      <w:proofErr w:type="spellEnd"/>
      <w:r w:rsidR="005748B8" w:rsidRPr="005141F4">
        <w:rPr>
          <w:i/>
          <w:color w:val="000000" w:themeColor="text1"/>
        </w:rPr>
        <w:t xml:space="preserve"> бензину А-95</w:t>
      </w:r>
      <w:r w:rsidRPr="00504559">
        <w:rPr>
          <w:i/>
          <w:lang w:val="uk-UA"/>
        </w:rPr>
        <w:t xml:space="preserve">, обрахованої </w:t>
      </w:r>
      <w:r>
        <w:rPr>
          <w:i/>
          <w:lang w:val="uk-UA"/>
        </w:rPr>
        <w:t>З</w:t>
      </w:r>
      <w:r w:rsidRPr="00504559">
        <w:rPr>
          <w:i/>
          <w:lang w:val="uk-UA"/>
        </w:rPr>
        <w:t xml:space="preserve">амовником </w:t>
      </w:r>
      <w:r>
        <w:rPr>
          <w:i/>
          <w:lang w:val="uk-UA"/>
        </w:rPr>
        <w:t xml:space="preserve">в </w:t>
      </w:r>
      <w:r w:rsidRPr="00BE5EBF">
        <w:rPr>
          <w:i/>
          <w:color w:val="000000"/>
        </w:rPr>
        <w:t xml:space="preserve">межах </w:t>
      </w:r>
      <w:proofErr w:type="spellStart"/>
      <w:r w:rsidRPr="00BE5EBF">
        <w:rPr>
          <w:i/>
          <w:color w:val="000000"/>
        </w:rPr>
        <w:t>видатків</w:t>
      </w:r>
      <w:proofErr w:type="spellEnd"/>
      <w:r w:rsidRPr="00BE5EBF">
        <w:rPr>
          <w:i/>
          <w:color w:val="000000"/>
        </w:rPr>
        <w:t xml:space="preserve">, </w:t>
      </w:r>
      <w:proofErr w:type="spellStart"/>
      <w:r w:rsidRPr="00BE5EBF">
        <w:rPr>
          <w:i/>
          <w:color w:val="000000"/>
        </w:rPr>
        <w:t>передбачених</w:t>
      </w:r>
      <w:proofErr w:type="spellEnd"/>
      <w:r w:rsidRPr="00BE5EBF">
        <w:rPr>
          <w:i/>
          <w:color w:val="000000"/>
        </w:rPr>
        <w:t xml:space="preserve"> </w:t>
      </w:r>
      <w:r w:rsidR="00092254">
        <w:rPr>
          <w:i/>
          <w:color w:val="000000"/>
          <w:lang w:val="uk-UA"/>
        </w:rPr>
        <w:t>планом асигнувань</w:t>
      </w:r>
      <w:r w:rsidR="006104D2" w:rsidRPr="005748B8">
        <w:rPr>
          <w:i/>
          <w:color w:val="000000" w:themeColor="text1"/>
          <w:lang w:val="uk-UA"/>
        </w:rPr>
        <w:t>.</w:t>
      </w:r>
      <w:r w:rsidR="006104D2" w:rsidRPr="006104D2">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0909D3" w:rsidRPr="00235FAC">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BE07FD" w:rsidRPr="00554B01">
        <w:rPr>
          <w:b/>
          <w:i/>
          <w:lang w:val="uk-UA"/>
        </w:rPr>
        <w:t xml:space="preserve">199 570,60 </w:t>
      </w:r>
      <w:proofErr w:type="spellStart"/>
      <w:r w:rsidR="001F0E33" w:rsidRPr="00554B01">
        <w:rPr>
          <w:b/>
          <w:i/>
          <w:lang w:val="uk-UA"/>
        </w:rPr>
        <w:t>грн</w:t>
      </w:r>
      <w:proofErr w:type="spellEnd"/>
      <w:r w:rsidR="001F0E33" w:rsidRPr="001966E6">
        <w:rPr>
          <w:b/>
          <w:i/>
          <w:lang w:val="uk-UA"/>
        </w:rPr>
        <w:t xml:space="preserve"> з ПДВ.</w:t>
      </w:r>
    </w:p>
    <w:p w:rsidR="001966E6" w:rsidRDefault="001966E6" w:rsidP="001966E6">
      <w:pPr>
        <w:jc w:val="both"/>
        <w:rPr>
          <w:b/>
          <w:i/>
          <w:lang w:val="uk-UA"/>
        </w:rPr>
      </w:pPr>
    </w:p>
    <w:p w:rsidR="00CF0075" w:rsidRPr="00554B01"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 xml:space="preserve">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w:t>
      </w:r>
      <w:r w:rsidR="00BE5EBF" w:rsidRPr="00554B01">
        <w:rPr>
          <w:i/>
          <w:lang w:val="uk-UA"/>
        </w:rPr>
        <w:t>пальне.</w:t>
      </w:r>
      <w:r w:rsidRPr="00554B01">
        <w:rPr>
          <w:i/>
          <w:lang w:val="uk-UA"/>
        </w:rPr>
        <w:t xml:space="preserve"> Очікувана вартість обрахована відповідно до </w:t>
      </w:r>
      <w:proofErr w:type="spellStart"/>
      <w:r w:rsidRPr="00554B01">
        <w:rPr>
          <w:i/>
          <w:lang w:val="uk-UA"/>
        </w:rPr>
        <w:t>середньоринкового</w:t>
      </w:r>
      <w:proofErr w:type="spellEnd"/>
      <w:r w:rsidRPr="00554B01">
        <w:rPr>
          <w:i/>
          <w:lang w:val="uk-UA"/>
        </w:rPr>
        <w:t xml:space="preserve"> </w:t>
      </w:r>
      <w:r w:rsidRPr="00554B01">
        <w:rPr>
          <w:lang w:val="uk-UA"/>
        </w:rPr>
        <w:t xml:space="preserve"> </w:t>
      </w:r>
      <w:r w:rsidRPr="00554B01">
        <w:rPr>
          <w:i/>
          <w:lang w:val="uk-UA"/>
        </w:rPr>
        <w:t>рівн</w:t>
      </w:r>
      <w:r w:rsidR="00AB515A" w:rsidRPr="00554B01">
        <w:rPr>
          <w:i/>
          <w:lang w:val="uk-UA"/>
        </w:rPr>
        <w:t xml:space="preserve">я цін, визначеного на базі цін </w:t>
      </w:r>
      <w:r w:rsidR="00332F66" w:rsidRPr="00554B01">
        <w:rPr>
          <w:i/>
          <w:lang w:val="uk-UA"/>
        </w:rPr>
        <w:t>3</w:t>
      </w:r>
      <w:r w:rsidRPr="00554B01">
        <w:rPr>
          <w:i/>
          <w:lang w:val="uk-UA"/>
        </w:rPr>
        <w:t>-х операторів АЗС</w:t>
      </w:r>
      <w:r w:rsidR="00EA2DE9" w:rsidRPr="00554B01">
        <w:rPr>
          <w:i/>
          <w:lang w:val="uk-UA"/>
        </w:rPr>
        <w:t>*</w:t>
      </w:r>
      <w:r w:rsidRPr="00554B01">
        <w:rPr>
          <w:i/>
          <w:lang w:val="uk-UA"/>
        </w:rPr>
        <w:t>.</w:t>
      </w:r>
    </w:p>
    <w:p w:rsidR="001966E6" w:rsidRPr="00554B01" w:rsidRDefault="001966E6" w:rsidP="001966E6">
      <w:pPr>
        <w:jc w:val="both"/>
        <w:rPr>
          <w:i/>
          <w:lang w:val="uk-UA"/>
        </w:rPr>
      </w:pPr>
    </w:p>
    <w:tbl>
      <w:tblPr>
        <w:tblStyle w:val="a8"/>
        <w:tblW w:w="9430" w:type="dxa"/>
        <w:tblLayout w:type="fixed"/>
        <w:tblLook w:val="04A0"/>
      </w:tblPr>
      <w:tblGrid>
        <w:gridCol w:w="1719"/>
        <w:gridCol w:w="1083"/>
        <w:gridCol w:w="1134"/>
        <w:gridCol w:w="1559"/>
        <w:gridCol w:w="1334"/>
        <w:gridCol w:w="1292"/>
        <w:gridCol w:w="1309"/>
      </w:tblGrid>
      <w:tr w:rsidR="008B5585" w:rsidRPr="00554B01" w:rsidTr="00B32567">
        <w:tc>
          <w:tcPr>
            <w:tcW w:w="1719" w:type="dxa"/>
            <w:vMerge w:val="restart"/>
          </w:tcPr>
          <w:p w:rsidR="008B5585" w:rsidRPr="00554B01" w:rsidRDefault="008B5585" w:rsidP="001966E6">
            <w:pPr>
              <w:jc w:val="both"/>
              <w:rPr>
                <w:lang w:val="uk-UA"/>
              </w:rPr>
            </w:pPr>
            <w:r w:rsidRPr="00554B01">
              <w:rPr>
                <w:lang w:val="uk-UA"/>
              </w:rPr>
              <w:t>Назва номенклатурної позиції</w:t>
            </w:r>
          </w:p>
        </w:tc>
        <w:tc>
          <w:tcPr>
            <w:tcW w:w="3776" w:type="dxa"/>
            <w:gridSpan w:val="3"/>
          </w:tcPr>
          <w:p w:rsidR="008B5585" w:rsidRPr="00554B01" w:rsidRDefault="00C966AD" w:rsidP="00332F66">
            <w:pPr>
              <w:jc w:val="both"/>
              <w:rPr>
                <w:lang w:val="uk-UA"/>
              </w:rPr>
            </w:pPr>
            <w:r w:rsidRPr="00554B01">
              <w:rPr>
                <w:lang w:val="uk-UA"/>
              </w:rPr>
              <w:t xml:space="preserve">Ціна за одиницю </w:t>
            </w:r>
            <w:r w:rsidR="00332F66" w:rsidRPr="00554B01">
              <w:rPr>
                <w:lang w:val="uk-UA"/>
              </w:rPr>
              <w:t>3</w:t>
            </w:r>
            <w:r w:rsidR="008B5585" w:rsidRPr="00554B01">
              <w:rPr>
                <w:lang w:val="uk-UA"/>
              </w:rPr>
              <w:t>-х операторів АЗС, грн.</w:t>
            </w:r>
          </w:p>
        </w:tc>
        <w:tc>
          <w:tcPr>
            <w:tcW w:w="1334" w:type="dxa"/>
            <w:vMerge w:val="restart"/>
          </w:tcPr>
          <w:p w:rsidR="008B5585" w:rsidRPr="00554B01" w:rsidRDefault="00C966AD" w:rsidP="002F34D7">
            <w:pPr>
              <w:jc w:val="both"/>
              <w:rPr>
                <w:lang w:val="uk-UA"/>
              </w:rPr>
            </w:pPr>
            <w:r w:rsidRPr="00554B01">
              <w:rPr>
                <w:lang w:val="uk-UA"/>
              </w:rPr>
              <w:t xml:space="preserve">Середнє арифметичне цін </w:t>
            </w:r>
            <w:r w:rsidR="002F34D7" w:rsidRPr="00554B01">
              <w:t>3</w:t>
            </w:r>
            <w:r w:rsidR="008B5585" w:rsidRPr="00554B01">
              <w:rPr>
                <w:lang w:val="uk-UA"/>
              </w:rPr>
              <w:t>-х операторів АЗС, грн.</w:t>
            </w:r>
          </w:p>
        </w:tc>
        <w:tc>
          <w:tcPr>
            <w:tcW w:w="1292" w:type="dxa"/>
            <w:vMerge w:val="restart"/>
          </w:tcPr>
          <w:p w:rsidR="008B5585" w:rsidRPr="00554B01" w:rsidRDefault="008B5585" w:rsidP="001966E6">
            <w:pPr>
              <w:jc w:val="both"/>
              <w:rPr>
                <w:lang w:val="uk-UA"/>
              </w:rPr>
            </w:pPr>
            <w:r w:rsidRPr="00554B01">
              <w:rPr>
                <w:lang w:val="uk-UA"/>
              </w:rPr>
              <w:t>Кількість, л.</w:t>
            </w:r>
          </w:p>
        </w:tc>
        <w:tc>
          <w:tcPr>
            <w:tcW w:w="1309" w:type="dxa"/>
            <w:vMerge w:val="restart"/>
          </w:tcPr>
          <w:p w:rsidR="008B5585" w:rsidRPr="00554B01" w:rsidRDefault="008B5585" w:rsidP="001966E6">
            <w:pPr>
              <w:jc w:val="both"/>
              <w:rPr>
                <w:lang w:val="uk-UA"/>
              </w:rPr>
            </w:pPr>
            <w:r w:rsidRPr="00554B01">
              <w:rPr>
                <w:lang w:val="uk-UA"/>
              </w:rPr>
              <w:t>Очікувана вартість, грн. (ст.5*ст.6)</w:t>
            </w:r>
          </w:p>
        </w:tc>
      </w:tr>
      <w:tr w:rsidR="00B32567" w:rsidRPr="00554B01" w:rsidTr="00B32567">
        <w:tc>
          <w:tcPr>
            <w:tcW w:w="1719" w:type="dxa"/>
            <w:vMerge/>
          </w:tcPr>
          <w:p w:rsidR="00B32567" w:rsidRPr="00554B01" w:rsidRDefault="00B32567" w:rsidP="001966E6">
            <w:pPr>
              <w:jc w:val="both"/>
              <w:rPr>
                <w:lang w:val="uk-UA"/>
              </w:rPr>
            </w:pPr>
          </w:p>
        </w:tc>
        <w:tc>
          <w:tcPr>
            <w:tcW w:w="1083" w:type="dxa"/>
          </w:tcPr>
          <w:p w:rsidR="00B32567" w:rsidRPr="00554B01" w:rsidRDefault="00B32567" w:rsidP="001966E6">
            <w:pPr>
              <w:jc w:val="both"/>
              <w:rPr>
                <w:lang w:val="uk-UA"/>
              </w:rPr>
            </w:pPr>
            <w:r w:rsidRPr="00554B01">
              <w:rPr>
                <w:lang w:val="uk-UA"/>
              </w:rPr>
              <w:t>«</w:t>
            </w:r>
            <w:r w:rsidRPr="00554B01">
              <w:rPr>
                <w:lang w:val="en-US"/>
              </w:rPr>
              <w:t>WOG</w:t>
            </w:r>
            <w:r w:rsidRPr="00554B01">
              <w:rPr>
                <w:lang w:val="uk-UA"/>
              </w:rPr>
              <w:t xml:space="preserve">»  </w:t>
            </w:r>
          </w:p>
        </w:tc>
        <w:tc>
          <w:tcPr>
            <w:tcW w:w="1134" w:type="dxa"/>
          </w:tcPr>
          <w:p w:rsidR="00B32567" w:rsidRPr="00554B01" w:rsidRDefault="00B32567" w:rsidP="00053B7D">
            <w:pPr>
              <w:jc w:val="both"/>
              <w:rPr>
                <w:lang w:val="uk-UA"/>
              </w:rPr>
            </w:pPr>
            <w:r w:rsidRPr="00554B01">
              <w:rPr>
                <w:lang w:val="uk-UA"/>
              </w:rPr>
              <w:t>«</w:t>
            </w:r>
            <w:r w:rsidR="00053B7D" w:rsidRPr="00554B01">
              <w:rPr>
                <w:lang w:val="en-US"/>
              </w:rPr>
              <w:t>UPG</w:t>
            </w:r>
            <w:r w:rsidRPr="00554B01">
              <w:rPr>
                <w:lang w:val="uk-UA"/>
              </w:rPr>
              <w:t>»</w:t>
            </w:r>
          </w:p>
        </w:tc>
        <w:tc>
          <w:tcPr>
            <w:tcW w:w="1559" w:type="dxa"/>
          </w:tcPr>
          <w:p w:rsidR="00B32567" w:rsidRPr="00554B01" w:rsidRDefault="00B32567" w:rsidP="00053B7D">
            <w:pPr>
              <w:jc w:val="both"/>
              <w:rPr>
                <w:lang w:val="uk-UA"/>
              </w:rPr>
            </w:pPr>
            <w:r w:rsidRPr="00554B01">
              <w:rPr>
                <w:lang w:val="uk-UA"/>
              </w:rPr>
              <w:t>«</w:t>
            </w:r>
            <w:proofErr w:type="spellStart"/>
            <w:r w:rsidRPr="00554B01">
              <w:rPr>
                <w:lang w:val="uk-UA"/>
              </w:rPr>
              <w:t>Укр</w:t>
            </w:r>
            <w:proofErr w:type="spellEnd"/>
            <w:r w:rsidR="00053B7D" w:rsidRPr="00554B01">
              <w:rPr>
                <w:lang w:val="en-US"/>
              </w:rPr>
              <w:t>-</w:t>
            </w:r>
            <w:proofErr w:type="spellStart"/>
            <w:r w:rsidR="00053B7D" w:rsidRPr="00554B01">
              <w:rPr>
                <w:lang w:val="uk-UA"/>
              </w:rPr>
              <w:t>Петроль</w:t>
            </w:r>
            <w:proofErr w:type="spellEnd"/>
            <w:r w:rsidRPr="00554B01">
              <w:rPr>
                <w:lang w:val="uk-UA"/>
              </w:rPr>
              <w:t>»</w:t>
            </w:r>
          </w:p>
        </w:tc>
        <w:tc>
          <w:tcPr>
            <w:tcW w:w="1334" w:type="dxa"/>
            <w:vMerge/>
          </w:tcPr>
          <w:p w:rsidR="00B32567" w:rsidRPr="00554B01" w:rsidRDefault="00B32567" w:rsidP="001966E6">
            <w:pPr>
              <w:jc w:val="both"/>
              <w:rPr>
                <w:lang w:val="uk-UA"/>
              </w:rPr>
            </w:pPr>
          </w:p>
        </w:tc>
        <w:tc>
          <w:tcPr>
            <w:tcW w:w="1292" w:type="dxa"/>
            <w:vMerge/>
          </w:tcPr>
          <w:p w:rsidR="00B32567" w:rsidRPr="00554B01" w:rsidRDefault="00B32567" w:rsidP="001966E6">
            <w:pPr>
              <w:jc w:val="both"/>
              <w:rPr>
                <w:lang w:val="uk-UA"/>
              </w:rPr>
            </w:pPr>
          </w:p>
        </w:tc>
        <w:tc>
          <w:tcPr>
            <w:tcW w:w="1309" w:type="dxa"/>
            <w:vMerge/>
          </w:tcPr>
          <w:p w:rsidR="00B32567" w:rsidRPr="00554B01" w:rsidRDefault="00B32567" w:rsidP="001966E6">
            <w:pPr>
              <w:jc w:val="both"/>
              <w:rPr>
                <w:lang w:val="uk-UA"/>
              </w:rPr>
            </w:pPr>
          </w:p>
        </w:tc>
      </w:tr>
      <w:tr w:rsidR="00B32567" w:rsidRPr="00554B01" w:rsidTr="00B32567">
        <w:tc>
          <w:tcPr>
            <w:tcW w:w="1719" w:type="dxa"/>
          </w:tcPr>
          <w:p w:rsidR="00B32567" w:rsidRPr="00554B01" w:rsidRDefault="00B32567" w:rsidP="008B5585">
            <w:pPr>
              <w:jc w:val="center"/>
              <w:rPr>
                <w:i/>
                <w:lang w:val="uk-UA"/>
              </w:rPr>
            </w:pPr>
            <w:r w:rsidRPr="00554B01">
              <w:rPr>
                <w:i/>
                <w:lang w:val="uk-UA"/>
              </w:rPr>
              <w:t>1</w:t>
            </w:r>
          </w:p>
        </w:tc>
        <w:tc>
          <w:tcPr>
            <w:tcW w:w="1083" w:type="dxa"/>
          </w:tcPr>
          <w:p w:rsidR="00B32567" w:rsidRPr="00554B01" w:rsidRDefault="00B32567" w:rsidP="008B5585">
            <w:pPr>
              <w:jc w:val="center"/>
              <w:rPr>
                <w:i/>
                <w:lang w:val="en-US"/>
              </w:rPr>
            </w:pPr>
            <w:r w:rsidRPr="00554B01">
              <w:rPr>
                <w:i/>
                <w:lang w:val="uk-UA"/>
              </w:rPr>
              <w:t>2</w:t>
            </w:r>
          </w:p>
        </w:tc>
        <w:tc>
          <w:tcPr>
            <w:tcW w:w="1134" w:type="dxa"/>
          </w:tcPr>
          <w:p w:rsidR="00B32567" w:rsidRPr="00554B01" w:rsidRDefault="00B32567" w:rsidP="008B5585">
            <w:pPr>
              <w:jc w:val="center"/>
              <w:rPr>
                <w:i/>
                <w:lang w:val="en-US"/>
              </w:rPr>
            </w:pPr>
            <w:r w:rsidRPr="00554B01">
              <w:rPr>
                <w:i/>
                <w:lang w:val="uk-UA"/>
              </w:rPr>
              <w:t>3</w:t>
            </w:r>
          </w:p>
        </w:tc>
        <w:tc>
          <w:tcPr>
            <w:tcW w:w="1559" w:type="dxa"/>
          </w:tcPr>
          <w:p w:rsidR="00B32567" w:rsidRPr="00554B01" w:rsidRDefault="00B32567" w:rsidP="008B5585">
            <w:pPr>
              <w:jc w:val="center"/>
              <w:rPr>
                <w:i/>
                <w:lang w:val="en-US"/>
              </w:rPr>
            </w:pPr>
            <w:r w:rsidRPr="00554B01">
              <w:rPr>
                <w:i/>
                <w:lang w:val="uk-UA"/>
              </w:rPr>
              <w:t>4</w:t>
            </w:r>
          </w:p>
        </w:tc>
        <w:tc>
          <w:tcPr>
            <w:tcW w:w="1334" w:type="dxa"/>
          </w:tcPr>
          <w:p w:rsidR="00B32567" w:rsidRPr="00554B01" w:rsidRDefault="00B32567" w:rsidP="008B5585">
            <w:pPr>
              <w:jc w:val="center"/>
              <w:rPr>
                <w:i/>
                <w:lang w:val="uk-UA"/>
              </w:rPr>
            </w:pPr>
            <w:r w:rsidRPr="00554B01">
              <w:rPr>
                <w:i/>
                <w:lang w:val="uk-UA"/>
              </w:rPr>
              <w:t>5</w:t>
            </w:r>
          </w:p>
        </w:tc>
        <w:tc>
          <w:tcPr>
            <w:tcW w:w="1292" w:type="dxa"/>
          </w:tcPr>
          <w:p w:rsidR="00B32567" w:rsidRPr="00554B01" w:rsidRDefault="00B32567" w:rsidP="008B5585">
            <w:pPr>
              <w:jc w:val="center"/>
              <w:rPr>
                <w:i/>
                <w:lang w:val="uk-UA"/>
              </w:rPr>
            </w:pPr>
            <w:r w:rsidRPr="00554B01">
              <w:rPr>
                <w:i/>
                <w:lang w:val="uk-UA"/>
              </w:rPr>
              <w:t>6</w:t>
            </w:r>
          </w:p>
        </w:tc>
        <w:tc>
          <w:tcPr>
            <w:tcW w:w="1309" w:type="dxa"/>
          </w:tcPr>
          <w:p w:rsidR="00B32567" w:rsidRPr="00554B01" w:rsidRDefault="00B32567" w:rsidP="008B5585">
            <w:pPr>
              <w:jc w:val="center"/>
              <w:rPr>
                <w:i/>
                <w:lang w:val="uk-UA"/>
              </w:rPr>
            </w:pPr>
            <w:r w:rsidRPr="00554B01">
              <w:rPr>
                <w:i/>
                <w:lang w:val="uk-UA"/>
              </w:rPr>
              <w:t>7</w:t>
            </w:r>
          </w:p>
        </w:tc>
      </w:tr>
      <w:tr w:rsidR="00B32567" w:rsidRPr="00554B01" w:rsidTr="00B32567">
        <w:trPr>
          <w:trHeight w:val="266"/>
        </w:trPr>
        <w:tc>
          <w:tcPr>
            <w:tcW w:w="1719" w:type="dxa"/>
          </w:tcPr>
          <w:p w:rsidR="00B32567" w:rsidRPr="00554B01" w:rsidRDefault="00B32567" w:rsidP="001966E6">
            <w:pPr>
              <w:jc w:val="both"/>
              <w:rPr>
                <w:lang w:val="uk-UA"/>
              </w:rPr>
            </w:pPr>
            <w:r w:rsidRPr="00554B01">
              <w:rPr>
                <w:lang w:val="uk-UA"/>
              </w:rPr>
              <w:t>Бензин-95</w:t>
            </w:r>
          </w:p>
        </w:tc>
        <w:tc>
          <w:tcPr>
            <w:tcW w:w="1083" w:type="dxa"/>
          </w:tcPr>
          <w:p w:rsidR="00B32567" w:rsidRPr="00554B01" w:rsidRDefault="002F34D7" w:rsidP="00152274">
            <w:pPr>
              <w:jc w:val="center"/>
              <w:rPr>
                <w:lang w:val="uk-UA"/>
              </w:rPr>
            </w:pPr>
            <w:r w:rsidRPr="00554B01">
              <w:rPr>
                <w:lang w:val="en-US"/>
              </w:rPr>
              <w:t>57</w:t>
            </w:r>
            <w:r w:rsidRPr="00554B01">
              <w:rPr>
                <w:lang w:val="uk-UA"/>
              </w:rPr>
              <w:t>,99</w:t>
            </w:r>
          </w:p>
        </w:tc>
        <w:tc>
          <w:tcPr>
            <w:tcW w:w="1134" w:type="dxa"/>
          </w:tcPr>
          <w:p w:rsidR="00B32567" w:rsidRPr="00554B01" w:rsidRDefault="002F34D7" w:rsidP="005D2F8B">
            <w:pPr>
              <w:jc w:val="center"/>
              <w:rPr>
                <w:lang w:val="en-US"/>
              </w:rPr>
            </w:pPr>
            <w:r w:rsidRPr="00554B01">
              <w:rPr>
                <w:lang w:val="en-US"/>
              </w:rPr>
              <w:t>53,90</w:t>
            </w:r>
          </w:p>
        </w:tc>
        <w:tc>
          <w:tcPr>
            <w:tcW w:w="1559" w:type="dxa"/>
          </w:tcPr>
          <w:p w:rsidR="00B32567" w:rsidRPr="00554B01" w:rsidRDefault="002F34D7" w:rsidP="00152274">
            <w:pPr>
              <w:jc w:val="center"/>
              <w:rPr>
                <w:lang w:val="uk-UA"/>
              </w:rPr>
            </w:pPr>
            <w:r w:rsidRPr="00554B01">
              <w:rPr>
                <w:lang w:val="uk-UA"/>
              </w:rPr>
              <w:t>53,50</w:t>
            </w:r>
          </w:p>
        </w:tc>
        <w:tc>
          <w:tcPr>
            <w:tcW w:w="1334" w:type="dxa"/>
          </w:tcPr>
          <w:p w:rsidR="00B32567" w:rsidRPr="00554B01" w:rsidRDefault="002F34D7" w:rsidP="002F34D7">
            <w:pPr>
              <w:jc w:val="center"/>
              <w:rPr>
                <w:lang w:val="uk-UA"/>
              </w:rPr>
            </w:pPr>
            <w:r w:rsidRPr="00554B01">
              <w:rPr>
                <w:lang w:val="uk-UA"/>
              </w:rPr>
              <w:t>55,13</w:t>
            </w:r>
          </w:p>
        </w:tc>
        <w:tc>
          <w:tcPr>
            <w:tcW w:w="1292" w:type="dxa"/>
          </w:tcPr>
          <w:p w:rsidR="00B32567" w:rsidRPr="00554B01" w:rsidRDefault="002F34D7" w:rsidP="002F34D7">
            <w:pPr>
              <w:jc w:val="center"/>
              <w:rPr>
                <w:lang w:val="uk-UA"/>
              </w:rPr>
            </w:pPr>
            <w:r w:rsidRPr="00554B01">
              <w:rPr>
                <w:lang w:val="uk-UA"/>
              </w:rPr>
              <w:t>3620</w:t>
            </w:r>
          </w:p>
        </w:tc>
        <w:tc>
          <w:tcPr>
            <w:tcW w:w="1309" w:type="dxa"/>
          </w:tcPr>
          <w:p w:rsidR="00B32567" w:rsidRPr="00554B01" w:rsidRDefault="002F34D7" w:rsidP="00BE07FD">
            <w:pPr>
              <w:jc w:val="center"/>
              <w:rPr>
                <w:lang w:val="uk-UA"/>
              </w:rPr>
            </w:pPr>
            <w:r w:rsidRPr="00554B01">
              <w:rPr>
                <w:lang w:val="uk-UA"/>
              </w:rPr>
              <w:t>199</w:t>
            </w:r>
            <w:r w:rsidR="00BE07FD" w:rsidRPr="00554B01">
              <w:rPr>
                <w:lang w:val="uk-UA"/>
              </w:rPr>
              <w:t xml:space="preserve"> 570</w:t>
            </w:r>
            <w:r w:rsidR="0051589F" w:rsidRPr="00554B01">
              <w:rPr>
                <w:lang w:val="uk-UA"/>
              </w:rPr>
              <w:t>,</w:t>
            </w:r>
            <w:r w:rsidR="00BE07FD" w:rsidRPr="00554B01">
              <w:rPr>
                <w:lang w:val="uk-UA"/>
              </w:rPr>
              <w:t>6</w:t>
            </w:r>
            <w:r w:rsidR="0051589F" w:rsidRPr="00554B01">
              <w:rPr>
                <w:lang w:val="uk-UA"/>
              </w:rPr>
              <w:t>0</w:t>
            </w:r>
          </w:p>
        </w:tc>
      </w:tr>
      <w:tr w:rsidR="008B5585" w:rsidRPr="00554B01" w:rsidTr="00B32567">
        <w:tc>
          <w:tcPr>
            <w:tcW w:w="6829" w:type="dxa"/>
            <w:gridSpan w:val="5"/>
          </w:tcPr>
          <w:p w:rsidR="008B5585" w:rsidRPr="00554B01" w:rsidRDefault="008B5585" w:rsidP="001966E6">
            <w:pPr>
              <w:jc w:val="both"/>
              <w:rPr>
                <w:lang w:val="uk-UA"/>
              </w:rPr>
            </w:pPr>
            <w:r w:rsidRPr="00554B01">
              <w:rPr>
                <w:lang w:val="uk-UA"/>
              </w:rPr>
              <w:t>Усього:</w:t>
            </w:r>
          </w:p>
        </w:tc>
        <w:tc>
          <w:tcPr>
            <w:tcW w:w="1292" w:type="dxa"/>
          </w:tcPr>
          <w:p w:rsidR="008B5585" w:rsidRPr="00554B01" w:rsidRDefault="002F34D7" w:rsidP="002F34D7">
            <w:pPr>
              <w:jc w:val="center"/>
              <w:rPr>
                <w:lang w:val="uk-UA"/>
              </w:rPr>
            </w:pPr>
            <w:r w:rsidRPr="00554B01">
              <w:rPr>
                <w:lang w:val="uk-UA"/>
              </w:rPr>
              <w:t>3620</w:t>
            </w:r>
          </w:p>
        </w:tc>
        <w:tc>
          <w:tcPr>
            <w:tcW w:w="1309" w:type="dxa"/>
          </w:tcPr>
          <w:p w:rsidR="008B5585" w:rsidRPr="00554B01" w:rsidRDefault="00BE07FD" w:rsidP="005D2F8B">
            <w:pPr>
              <w:jc w:val="center"/>
              <w:rPr>
                <w:lang w:val="uk-UA"/>
              </w:rPr>
            </w:pPr>
            <w:r w:rsidRPr="00554B01">
              <w:rPr>
                <w:lang w:val="uk-UA"/>
              </w:rPr>
              <w:t>199 570,60</w:t>
            </w:r>
          </w:p>
        </w:tc>
      </w:tr>
    </w:tbl>
    <w:p w:rsidR="001966E6" w:rsidRPr="00AB515A" w:rsidRDefault="001966E6" w:rsidP="001966E6">
      <w:pPr>
        <w:jc w:val="both"/>
        <w:rPr>
          <w:lang w:val="uk-UA"/>
        </w:rPr>
      </w:pPr>
    </w:p>
    <w:p w:rsidR="00594FDE" w:rsidRPr="00EA2DE9"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EA2DE9"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09D3"/>
    <w:rsid w:val="00002A6F"/>
    <w:rsid w:val="00053B7D"/>
    <w:rsid w:val="00074437"/>
    <w:rsid w:val="000909D3"/>
    <w:rsid w:val="00092254"/>
    <w:rsid w:val="000A1DC7"/>
    <w:rsid w:val="000B1118"/>
    <w:rsid w:val="000E266B"/>
    <w:rsid w:val="000E4199"/>
    <w:rsid w:val="001064A0"/>
    <w:rsid w:val="001163C0"/>
    <w:rsid w:val="00152274"/>
    <w:rsid w:val="00153119"/>
    <w:rsid w:val="001966E6"/>
    <w:rsid w:val="001A4D37"/>
    <w:rsid w:val="001B4A0F"/>
    <w:rsid w:val="001F0E33"/>
    <w:rsid w:val="00235FAC"/>
    <w:rsid w:val="002453A7"/>
    <w:rsid w:val="002774F7"/>
    <w:rsid w:val="002F0165"/>
    <w:rsid w:val="002F34D7"/>
    <w:rsid w:val="00312C11"/>
    <w:rsid w:val="00323831"/>
    <w:rsid w:val="00332F66"/>
    <w:rsid w:val="00342461"/>
    <w:rsid w:val="0034432A"/>
    <w:rsid w:val="00375030"/>
    <w:rsid w:val="00422245"/>
    <w:rsid w:val="00486226"/>
    <w:rsid w:val="004937F1"/>
    <w:rsid w:val="00510A4D"/>
    <w:rsid w:val="005141F4"/>
    <w:rsid w:val="0051589F"/>
    <w:rsid w:val="005316EB"/>
    <w:rsid w:val="00534DE9"/>
    <w:rsid w:val="0053540A"/>
    <w:rsid w:val="00554B01"/>
    <w:rsid w:val="00557E37"/>
    <w:rsid w:val="005627EF"/>
    <w:rsid w:val="005748B8"/>
    <w:rsid w:val="00594FDE"/>
    <w:rsid w:val="005D2F8B"/>
    <w:rsid w:val="006104D2"/>
    <w:rsid w:val="006223E6"/>
    <w:rsid w:val="00683B96"/>
    <w:rsid w:val="006A35B8"/>
    <w:rsid w:val="006B3648"/>
    <w:rsid w:val="006C20AE"/>
    <w:rsid w:val="006E2B64"/>
    <w:rsid w:val="00744A84"/>
    <w:rsid w:val="00774877"/>
    <w:rsid w:val="00782268"/>
    <w:rsid w:val="00804941"/>
    <w:rsid w:val="00806F20"/>
    <w:rsid w:val="00817F85"/>
    <w:rsid w:val="00825F6E"/>
    <w:rsid w:val="00860881"/>
    <w:rsid w:val="008A08C0"/>
    <w:rsid w:val="008B5585"/>
    <w:rsid w:val="008B5BEA"/>
    <w:rsid w:val="008B6BEB"/>
    <w:rsid w:val="009B244B"/>
    <w:rsid w:val="009E561A"/>
    <w:rsid w:val="00AB515A"/>
    <w:rsid w:val="00AF2419"/>
    <w:rsid w:val="00B32567"/>
    <w:rsid w:val="00B51663"/>
    <w:rsid w:val="00B848EB"/>
    <w:rsid w:val="00B90D64"/>
    <w:rsid w:val="00B918BC"/>
    <w:rsid w:val="00B9502C"/>
    <w:rsid w:val="00BB03C4"/>
    <w:rsid w:val="00BE07FD"/>
    <w:rsid w:val="00BE5EBF"/>
    <w:rsid w:val="00C154C7"/>
    <w:rsid w:val="00C61D3A"/>
    <w:rsid w:val="00C65BE7"/>
    <w:rsid w:val="00C72410"/>
    <w:rsid w:val="00C76D33"/>
    <w:rsid w:val="00C966AD"/>
    <w:rsid w:val="00CF0075"/>
    <w:rsid w:val="00D06E9A"/>
    <w:rsid w:val="00D07773"/>
    <w:rsid w:val="00D101FE"/>
    <w:rsid w:val="00D160C0"/>
    <w:rsid w:val="00D949FD"/>
    <w:rsid w:val="00DF5222"/>
    <w:rsid w:val="00E1504A"/>
    <w:rsid w:val="00E228EB"/>
    <w:rsid w:val="00E408E9"/>
    <w:rsid w:val="00E75E88"/>
    <w:rsid w:val="00EA2DE9"/>
    <w:rsid w:val="00F719FF"/>
    <w:rsid w:val="00FB048D"/>
    <w:rsid w:val="00FB7ACC"/>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lan/view/309350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1819</Words>
  <Characters>1037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15</cp:revision>
  <cp:lastPrinted>2024-11-08T09:52:00Z</cp:lastPrinted>
  <dcterms:created xsi:type="dcterms:W3CDTF">2024-06-03T09:10:00Z</dcterms:created>
  <dcterms:modified xsi:type="dcterms:W3CDTF">2024-11-08T09:52:00Z</dcterms:modified>
</cp:coreProperties>
</file>