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DB2F6A">
        <w:rPr>
          <w:rFonts w:ascii="Times New Roman" w:hAnsi="Times New Roman"/>
          <w:noProof/>
          <w:sz w:val="24"/>
          <w:szCs w:val="24"/>
          <w:lang w:val="uk-UA"/>
        </w:rPr>
        <w:t>1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 </w:t>
      </w:r>
      <w:r w:rsidR="00E17F16">
        <w:rPr>
          <w:rFonts w:ascii="Times New Roman" w:hAnsi="Times New Roman"/>
          <w:noProof/>
          <w:sz w:val="24"/>
          <w:szCs w:val="24"/>
          <w:lang w:val="uk-UA"/>
        </w:rPr>
        <w:t>06/04/</w:t>
      </w:r>
      <w:r w:rsidR="00B55A24" w:rsidRPr="00F1570C">
        <w:rPr>
          <w:rFonts w:ascii="Times New Roman" w:hAnsi="Times New Roman"/>
          <w:noProof/>
          <w:sz w:val="24"/>
          <w:szCs w:val="24"/>
        </w:rPr>
        <w:t>20</w:t>
      </w:r>
      <w:r w:rsidR="00E609A9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3C4F02">
        <w:rPr>
          <w:rFonts w:ascii="Times New Roman" w:hAnsi="Times New Roman"/>
          <w:noProof/>
          <w:sz w:val="24"/>
          <w:szCs w:val="24"/>
          <w:lang w:val="uk-UA"/>
        </w:rPr>
        <w:t>39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«Б»</w:t>
      </w:r>
    </w:p>
    <w:p w:rsidR="009E043D" w:rsidRPr="0074081C" w:rsidRDefault="00AA1486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н</w:t>
      </w:r>
      <w:r w:rsidR="00E609A9">
        <w:rPr>
          <w:rStyle w:val="rvts15"/>
          <w:noProof/>
        </w:rPr>
        <w:t xml:space="preserve">ачальника відділу державного екологічного нагляду (контролю) надр </w:t>
      </w:r>
      <w:r w:rsidR="009E043D">
        <w:rPr>
          <w:rStyle w:val="rvts15"/>
          <w:noProof/>
        </w:rPr>
        <w:t>-  старшого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3A3C75" w:rsidTr="00B262BD">
        <w:trPr>
          <w:trHeight w:val="9475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1BF6" w:rsidRPr="00F71BF6" w:rsidRDefault="00AA1416" w:rsidP="00DC77C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в межах своєї компетенції державний нагляд (контроль)</w:t>
            </w:r>
            <w:r w:rsidR="00D6475D" w:rsidRPr="00DC77CE">
              <w:rPr>
                <w:rFonts w:ascii="Times New Roman" w:hAnsi="Times New Roman"/>
                <w:noProof/>
                <w:lang w:val="uk-UA"/>
              </w:rPr>
              <w:t xml:space="preserve">  </w:t>
            </w:r>
            <w:r>
              <w:rPr>
                <w:rFonts w:ascii="Times New Roman" w:hAnsi="Times New Roman"/>
                <w:noProof/>
                <w:lang w:val="uk-UA"/>
              </w:rPr>
              <w:t xml:space="preserve">за додержанням територіальними органами центральних органів виконавчої влади, місцевими органами виконавчої влади </w:t>
            </w:r>
            <w:r w:rsidR="00711571">
              <w:rPr>
                <w:rFonts w:ascii="Times New Roman" w:hAnsi="Times New Roman"/>
                <w:noProof/>
                <w:lang w:val="uk-UA"/>
              </w:rPr>
              <w:t>, органами місцев</w:t>
            </w:r>
            <w:r w:rsidR="00B06639">
              <w:rPr>
                <w:rFonts w:ascii="Times New Roman" w:hAnsi="Times New Roman"/>
                <w:noProof/>
                <w:lang w:val="uk-UA"/>
              </w:rPr>
              <w:t>о</w:t>
            </w:r>
            <w:r w:rsidR="00711571">
              <w:rPr>
                <w:rFonts w:ascii="Times New Roman" w:hAnsi="Times New Roman"/>
                <w:noProof/>
                <w:lang w:val="uk-UA"/>
              </w:rPr>
              <w:t>го самоврядування в частині здійснення делегованих їм повноважень органів виконавчої влади, підприємствами, установами та організаціями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5905CB">
              <w:rPr>
                <w:rFonts w:ascii="Times New Roman" w:hAnsi="Times New Roman"/>
                <w:noProof/>
                <w:lang w:val="uk-UA"/>
              </w:rPr>
              <w:t>незалежно від від форми власності і господарювання, громадянами України, іноземцями та особами без громадянства, а також юридичними особа</w:t>
            </w:r>
            <w:r w:rsidR="00B06639">
              <w:rPr>
                <w:rFonts w:ascii="Times New Roman" w:hAnsi="Times New Roman"/>
                <w:noProof/>
                <w:lang w:val="uk-UA"/>
              </w:rPr>
              <w:t>м</w:t>
            </w:r>
            <w:r w:rsidR="005905CB">
              <w:rPr>
                <w:rFonts w:ascii="Times New Roman" w:hAnsi="Times New Roman"/>
                <w:noProof/>
                <w:lang w:val="uk-UA"/>
              </w:rPr>
              <w:t xml:space="preserve">и – нерезидентами  вимог </w:t>
            </w:r>
            <w:r w:rsidR="00F71BF6">
              <w:rPr>
                <w:rFonts w:ascii="Times New Roman" w:hAnsi="Times New Roman"/>
                <w:noProof/>
                <w:lang w:val="uk-UA"/>
              </w:rPr>
              <w:t>законодавства про охорону навколишнього природного середовища, охорони і раціонального використання надр</w:t>
            </w:r>
          </w:p>
          <w:p w:rsidR="00E17AA4" w:rsidRPr="00E17AA4" w:rsidRDefault="000B3656" w:rsidP="00DC77CE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Представляє Інспекцію у державних органах, бере участь у роботі нарад, семінарів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,конференцій з питань, що стосуються охорони і раціонального використання надр</w:t>
            </w:r>
          </w:p>
          <w:p w:rsidR="00377CFF" w:rsidRPr="00806486" w:rsidRDefault="009D3DFB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Подає </w:t>
            </w:r>
            <w:r w:rsidR="00E17AA4">
              <w:rPr>
                <w:rFonts w:ascii="Times New Roman" w:hAnsi="Times New Roman"/>
                <w:noProof/>
                <w:lang w:val="uk-UA"/>
              </w:rPr>
              <w:t>пропозиції керівництву Інспекції щодо</w:t>
            </w:r>
            <w:r>
              <w:rPr>
                <w:rFonts w:ascii="Times New Roman" w:hAnsi="Times New Roman"/>
                <w:noProof/>
                <w:lang w:val="uk-UA"/>
              </w:rPr>
              <w:t>: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>
              <w:rPr>
                <w:rFonts w:ascii="Times New Roman" w:hAnsi="Times New Roman"/>
                <w:noProof/>
                <w:lang w:val="uk-UA"/>
              </w:rPr>
              <w:t>видачі, зупинення дії або анулювання в установленому  законодавством порядку</w:t>
            </w:r>
            <w:r w:rsidR="00E17AA4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806486">
              <w:rPr>
                <w:rFonts w:ascii="Times New Roman" w:hAnsi="Times New Roman"/>
                <w:noProof/>
                <w:lang w:val="uk-UA"/>
              </w:rPr>
              <w:t>дозволів, лімітів та квот на спеціальне</w:t>
            </w:r>
            <w:r w:rsidR="00B06639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806486">
              <w:rPr>
                <w:rFonts w:ascii="Times New Roman" w:hAnsi="Times New Roman"/>
                <w:noProof/>
                <w:lang w:val="uk-UA"/>
              </w:rPr>
              <w:t>використання природних ресурсів, інших документів дозвільного характеру, що стосуються компетенції відділу</w:t>
            </w:r>
          </w:p>
          <w:p w:rsidR="00806486" w:rsidRPr="002A4A40" w:rsidRDefault="00806486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Взаємодіє із засобами масової інформації з питань висвітлення актуальних проблем у сфері охорони і раціонального використання надр</w:t>
            </w:r>
          </w:p>
          <w:p w:rsidR="002A4A40" w:rsidRPr="006564A1" w:rsidRDefault="002A4A40" w:rsidP="00806486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Здійснює контроль щодо виконання планових та позапланових заходів державного нагляду (контролю) , </w:t>
            </w:r>
          </w:p>
          <w:p w:rsidR="006564A1" w:rsidRPr="003A3C75" w:rsidRDefault="00826533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Здійснює загальне керівництво відділом та забезпечує виконання покладених на відділ завдань</w:t>
            </w:r>
            <w:r w:rsidR="003A3C75">
              <w:rPr>
                <w:rFonts w:ascii="Times New Roman" w:hAnsi="Times New Roman"/>
                <w:noProof/>
                <w:lang w:val="uk-UA"/>
              </w:rPr>
              <w:t>, визначає пріоритетні напрямки стратегію  діяльності відділу, організовує розробку річних і перспективних планів роботи відділу і контролює їх виконання, розподіляє обовязки між працівниками відділу та контролює їх роботу</w:t>
            </w:r>
          </w:p>
          <w:p w:rsidR="003A3C75" w:rsidRPr="00032D47" w:rsidRDefault="007640A1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Забезпечує в межах своїх повноважень здійснення заходів щодо запобігання корупції</w:t>
            </w:r>
          </w:p>
          <w:p w:rsidR="00032D47" w:rsidRPr="00C75CFA" w:rsidRDefault="00032D47" w:rsidP="003A3C75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Контролює строки виконання та дає оцінку якості робіт, виконуваних працівниками відділу</w:t>
            </w:r>
            <w:r w:rsidR="00A544E4">
              <w:rPr>
                <w:rFonts w:ascii="Times New Roman" w:hAnsi="Times New Roman"/>
                <w:noProof/>
                <w:lang w:val="uk-UA"/>
              </w:rPr>
              <w:t>, а також дає розпорядження з питань організації праці, трудової і виробничої дисципліни, техніки безпеки та охорони праці, правил протипожежної безпеки</w:t>
            </w:r>
          </w:p>
          <w:p w:rsidR="00C75CFA" w:rsidRPr="009B4BC8" w:rsidRDefault="00C75CFA" w:rsidP="00C75CF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Проводить грунтовний аналіз матеріалів перевірок інспекторського складу відділу</w:t>
            </w:r>
          </w:p>
          <w:p w:rsidR="009B4BC8" w:rsidRPr="003A3C75" w:rsidRDefault="009B4BC8" w:rsidP="00C75CFA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Складає акти перевірок , протоколи про адміністративні правоворушення та розглядає справи про адміністративні правопорушення, накладає адміністративні стягнення у випадках передбачених законом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E63A8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6480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B22DD" w:rsidRPr="00F10AB5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F1570C">
              <w:rPr>
                <w:b/>
                <w:noProof/>
                <w:lang w:eastAsia="ru-RU"/>
              </w:rPr>
              <w:t>1</w:t>
            </w:r>
            <w:r w:rsidR="00E609A9">
              <w:rPr>
                <w:b/>
                <w:noProof/>
                <w:lang w:eastAsia="ru-RU"/>
              </w:rPr>
              <w:t>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E609A9">
              <w:rPr>
                <w:b/>
                <w:noProof/>
                <w:lang w:eastAsia="ru-RU"/>
              </w:rPr>
              <w:t>30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160A3B">
              <w:rPr>
                <w:b/>
                <w:noProof/>
                <w:lang w:eastAsia="ru-RU"/>
              </w:rPr>
              <w:t>1</w:t>
            </w:r>
            <w:r w:rsidR="006B52BC">
              <w:rPr>
                <w:b/>
                <w:noProof/>
                <w:lang w:eastAsia="ru-RU"/>
              </w:rPr>
              <w:t>3</w:t>
            </w:r>
            <w:r w:rsidR="00F10AB5" w:rsidRPr="00F10AB5">
              <w:rPr>
                <w:b/>
                <w:noProof/>
                <w:lang w:eastAsia="ru-RU"/>
              </w:rPr>
              <w:t>.</w:t>
            </w:r>
            <w:r w:rsidR="00E609A9">
              <w:rPr>
                <w:b/>
                <w:noProof/>
                <w:lang w:eastAsia="ru-RU"/>
              </w:rPr>
              <w:t>0</w:t>
            </w:r>
            <w:r w:rsidR="00160A3B">
              <w:rPr>
                <w:b/>
                <w:noProof/>
                <w:lang w:eastAsia="ru-RU"/>
              </w:rPr>
              <w:t>4</w:t>
            </w:r>
            <w:r w:rsidR="00F10AB5" w:rsidRPr="00F10AB5">
              <w:rPr>
                <w:b/>
                <w:noProof/>
                <w:lang w:eastAsia="ru-RU"/>
              </w:rPr>
              <w:t>.20</w:t>
            </w:r>
            <w:r w:rsidR="00E609A9">
              <w:rPr>
                <w:b/>
                <w:noProof/>
                <w:lang w:eastAsia="ru-RU"/>
              </w:rPr>
              <w:t>20</w:t>
            </w:r>
          </w:p>
          <w:p w:rsidR="00F10AB5" w:rsidRPr="00C94222" w:rsidRDefault="00F10AB5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Додаткові (необов</w:t>
            </w:r>
            <w:r w:rsidRPr="00F10AB5">
              <w:rPr>
                <w:noProof/>
                <w:lang w:val="ru-RU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Default="00F10AB5" w:rsidP="00583174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F10AB5" w:rsidRPr="00F10AB5" w:rsidRDefault="00F10AB5" w:rsidP="006C7323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b/>
              </w:rPr>
            </w:pPr>
            <w:r w:rsidRPr="00F10AB5">
              <w:rPr>
                <w:b/>
              </w:rPr>
              <w:t xml:space="preserve">о 10 год. 00 хв.  </w:t>
            </w:r>
            <w:r w:rsidR="006C7323">
              <w:rPr>
                <w:b/>
              </w:rPr>
              <w:t>16</w:t>
            </w:r>
            <w:r w:rsidR="002A2B58">
              <w:rPr>
                <w:b/>
              </w:rPr>
              <w:t xml:space="preserve"> квітня</w:t>
            </w:r>
            <w:r w:rsidRPr="00F10AB5">
              <w:rPr>
                <w:b/>
              </w:rPr>
              <w:t xml:space="preserve"> 20</w:t>
            </w:r>
            <w:r w:rsidR="00E609A9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394EE1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D1744E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вища, магістр в галузі знань «Природничі науки»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881270">
              <w:rPr>
                <w:shd w:val="clear" w:color="auto" w:fill="FFFFFF"/>
              </w:rPr>
              <w:t>одного року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890401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лідерство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6C3E8D" w:rsidRPr="008E7921" w:rsidRDefault="006C3E8D" w:rsidP="006C3E8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 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організація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колективу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досягнення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визначеної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мети,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методи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стимуляції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мотивації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підпорядкованих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1616F4" w:rsidRPr="003B3D10" w:rsidRDefault="006C3E8D" w:rsidP="006C3E8D">
            <w:pPr>
              <w:pStyle w:val="rvps12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вміння аргументувати власну позицію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D576C9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4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8338B3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8338B3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- </w:t>
            </w:r>
            <w:r w:rsidR="001F2959">
              <w:rPr>
                <w:noProof/>
                <w:lang w:val="ru-RU" w:eastAsia="ru-RU"/>
              </w:rPr>
              <w:t xml:space="preserve"> Кодекс У</w:t>
            </w:r>
            <w:r>
              <w:rPr>
                <w:noProof/>
                <w:lang w:val="ru-RU" w:eastAsia="ru-RU"/>
              </w:rPr>
              <w:t xml:space="preserve">країни «Про </w:t>
            </w:r>
            <w:r w:rsidR="001F2959">
              <w:rPr>
                <w:noProof/>
                <w:lang w:val="ru-RU" w:eastAsia="ru-RU"/>
              </w:rPr>
              <w:t>надра</w:t>
            </w:r>
            <w:r>
              <w:rPr>
                <w:noProof/>
                <w:lang w:val="ru-RU" w:eastAsia="ru-RU"/>
              </w:rPr>
              <w:t>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Земельний  кодекс України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32D47"/>
    <w:rsid w:val="00043AFC"/>
    <w:rsid w:val="00066B4C"/>
    <w:rsid w:val="00072152"/>
    <w:rsid w:val="00081C96"/>
    <w:rsid w:val="00091745"/>
    <w:rsid w:val="000A7996"/>
    <w:rsid w:val="000B3656"/>
    <w:rsid w:val="000B7020"/>
    <w:rsid w:val="000D62F8"/>
    <w:rsid w:val="000F7FAC"/>
    <w:rsid w:val="00102E74"/>
    <w:rsid w:val="00120833"/>
    <w:rsid w:val="00136F00"/>
    <w:rsid w:val="001420B7"/>
    <w:rsid w:val="001423BC"/>
    <w:rsid w:val="00145EB0"/>
    <w:rsid w:val="00160A3B"/>
    <w:rsid w:val="001616F4"/>
    <w:rsid w:val="00172A95"/>
    <w:rsid w:val="0017330A"/>
    <w:rsid w:val="001B1F3D"/>
    <w:rsid w:val="001C32D5"/>
    <w:rsid w:val="001D1EE1"/>
    <w:rsid w:val="001D72EE"/>
    <w:rsid w:val="001F2959"/>
    <w:rsid w:val="00203972"/>
    <w:rsid w:val="00250E4F"/>
    <w:rsid w:val="00286764"/>
    <w:rsid w:val="002A2B58"/>
    <w:rsid w:val="002A4A40"/>
    <w:rsid w:val="002B5320"/>
    <w:rsid w:val="002C5535"/>
    <w:rsid w:val="002C7ECC"/>
    <w:rsid w:val="003439E5"/>
    <w:rsid w:val="00377CFF"/>
    <w:rsid w:val="00380396"/>
    <w:rsid w:val="00383608"/>
    <w:rsid w:val="00391852"/>
    <w:rsid w:val="00394EE1"/>
    <w:rsid w:val="003A3C75"/>
    <w:rsid w:val="003B3D10"/>
    <w:rsid w:val="003C4F02"/>
    <w:rsid w:val="003C67DB"/>
    <w:rsid w:val="0041334B"/>
    <w:rsid w:val="004365E1"/>
    <w:rsid w:val="004642F1"/>
    <w:rsid w:val="0047214C"/>
    <w:rsid w:val="004C1F89"/>
    <w:rsid w:val="004D3D17"/>
    <w:rsid w:val="004D771E"/>
    <w:rsid w:val="004E07FD"/>
    <w:rsid w:val="004F0694"/>
    <w:rsid w:val="00512702"/>
    <w:rsid w:val="0051775B"/>
    <w:rsid w:val="00531597"/>
    <w:rsid w:val="00531B03"/>
    <w:rsid w:val="005457C3"/>
    <w:rsid w:val="0058261B"/>
    <w:rsid w:val="0058500F"/>
    <w:rsid w:val="005905CB"/>
    <w:rsid w:val="005972B5"/>
    <w:rsid w:val="005A2498"/>
    <w:rsid w:val="005B2BF8"/>
    <w:rsid w:val="005C7889"/>
    <w:rsid w:val="005D0D45"/>
    <w:rsid w:val="006223E1"/>
    <w:rsid w:val="00626356"/>
    <w:rsid w:val="00636BF5"/>
    <w:rsid w:val="00653173"/>
    <w:rsid w:val="00653599"/>
    <w:rsid w:val="00653E81"/>
    <w:rsid w:val="006564A1"/>
    <w:rsid w:val="0066057E"/>
    <w:rsid w:val="00663CB7"/>
    <w:rsid w:val="00670473"/>
    <w:rsid w:val="00677721"/>
    <w:rsid w:val="006903A2"/>
    <w:rsid w:val="006A1B76"/>
    <w:rsid w:val="006B52BC"/>
    <w:rsid w:val="006C3E8D"/>
    <w:rsid w:val="006C7323"/>
    <w:rsid w:val="007042FD"/>
    <w:rsid w:val="00704D9D"/>
    <w:rsid w:val="00711571"/>
    <w:rsid w:val="00715AF9"/>
    <w:rsid w:val="0074081C"/>
    <w:rsid w:val="00744445"/>
    <w:rsid w:val="007640A1"/>
    <w:rsid w:val="00767E68"/>
    <w:rsid w:val="00790A24"/>
    <w:rsid w:val="00791B2A"/>
    <w:rsid w:val="007A7DD7"/>
    <w:rsid w:val="007C0160"/>
    <w:rsid w:val="007D76E7"/>
    <w:rsid w:val="007E3A1E"/>
    <w:rsid w:val="007F33A5"/>
    <w:rsid w:val="00806486"/>
    <w:rsid w:val="00816D5E"/>
    <w:rsid w:val="00826533"/>
    <w:rsid w:val="008338B3"/>
    <w:rsid w:val="0083492A"/>
    <w:rsid w:val="0085187A"/>
    <w:rsid w:val="00870BCF"/>
    <w:rsid w:val="00881270"/>
    <w:rsid w:val="00890401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225AF"/>
    <w:rsid w:val="009368E7"/>
    <w:rsid w:val="009567BB"/>
    <w:rsid w:val="00957315"/>
    <w:rsid w:val="00990755"/>
    <w:rsid w:val="009949B2"/>
    <w:rsid w:val="009A3317"/>
    <w:rsid w:val="009B4BC8"/>
    <w:rsid w:val="009D3DFB"/>
    <w:rsid w:val="009E043D"/>
    <w:rsid w:val="00A211F2"/>
    <w:rsid w:val="00A26B23"/>
    <w:rsid w:val="00A470E1"/>
    <w:rsid w:val="00A5427B"/>
    <w:rsid w:val="00A544E4"/>
    <w:rsid w:val="00A56B37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C4540"/>
    <w:rsid w:val="00B06639"/>
    <w:rsid w:val="00B11804"/>
    <w:rsid w:val="00B262BD"/>
    <w:rsid w:val="00B44A49"/>
    <w:rsid w:val="00B461E5"/>
    <w:rsid w:val="00B55A24"/>
    <w:rsid w:val="00B64A52"/>
    <w:rsid w:val="00B73605"/>
    <w:rsid w:val="00B76F9C"/>
    <w:rsid w:val="00BA53E8"/>
    <w:rsid w:val="00BE7D4E"/>
    <w:rsid w:val="00BF7B2F"/>
    <w:rsid w:val="00BF7E35"/>
    <w:rsid w:val="00C05156"/>
    <w:rsid w:val="00C36F8B"/>
    <w:rsid w:val="00C44465"/>
    <w:rsid w:val="00C45E0C"/>
    <w:rsid w:val="00C67A08"/>
    <w:rsid w:val="00C75CFA"/>
    <w:rsid w:val="00C936DC"/>
    <w:rsid w:val="00C94222"/>
    <w:rsid w:val="00C96551"/>
    <w:rsid w:val="00CA5FE5"/>
    <w:rsid w:val="00CB42FA"/>
    <w:rsid w:val="00CB561F"/>
    <w:rsid w:val="00CD2C8A"/>
    <w:rsid w:val="00CD4EE4"/>
    <w:rsid w:val="00CD5CDE"/>
    <w:rsid w:val="00CD60BE"/>
    <w:rsid w:val="00CF2234"/>
    <w:rsid w:val="00CF4989"/>
    <w:rsid w:val="00D168CB"/>
    <w:rsid w:val="00D1744E"/>
    <w:rsid w:val="00D277B5"/>
    <w:rsid w:val="00D576C9"/>
    <w:rsid w:val="00D61ECF"/>
    <w:rsid w:val="00D6475D"/>
    <w:rsid w:val="00D65728"/>
    <w:rsid w:val="00D66AD3"/>
    <w:rsid w:val="00D74BD8"/>
    <w:rsid w:val="00DA338B"/>
    <w:rsid w:val="00DA6CA0"/>
    <w:rsid w:val="00DB22DD"/>
    <w:rsid w:val="00DB2F6A"/>
    <w:rsid w:val="00DC22B4"/>
    <w:rsid w:val="00DC3302"/>
    <w:rsid w:val="00DC77CE"/>
    <w:rsid w:val="00DD24E9"/>
    <w:rsid w:val="00DD365E"/>
    <w:rsid w:val="00DF1E05"/>
    <w:rsid w:val="00DF4FBD"/>
    <w:rsid w:val="00E00BC3"/>
    <w:rsid w:val="00E15871"/>
    <w:rsid w:val="00E17AA4"/>
    <w:rsid w:val="00E17F16"/>
    <w:rsid w:val="00E2349E"/>
    <w:rsid w:val="00E23E26"/>
    <w:rsid w:val="00E426BD"/>
    <w:rsid w:val="00E46DDE"/>
    <w:rsid w:val="00E609A9"/>
    <w:rsid w:val="00E63A89"/>
    <w:rsid w:val="00E80CF3"/>
    <w:rsid w:val="00E83E02"/>
    <w:rsid w:val="00EA0EE7"/>
    <w:rsid w:val="00EE3447"/>
    <w:rsid w:val="00F10AB5"/>
    <w:rsid w:val="00F13EC8"/>
    <w:rsid w:val="00F1570C"/>
    <w:rsid w:val="00F26FD4"/>
    <w:rsid w:val="00F35F25"/>
    <w:rsid w:val="00F36BA3"/>
    <w:rsid w:val="00F53FAA"/>
    <w:rsid w:val="00F65F02"/>
    <w:rsid w:val="00F71BF6"/>
    <w:rsid w:val="00F76888"/>
    <w:rsid w:val="00F82A7F"/>
    <w:rsid w:val="00FA09A9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8532F-5844-4B60-B4A5-D798624C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886</Words>
  <Characters>6523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45</cp:revision>
  <cp:lastPrinted>2020-03-31T09:28:00Z</cp:lastPrinted>
  <dcterms:created xsi:type="dcterms:W3CDTF">2019-04-18T12:01:00Z</dcterms:created>
  <dcterms:modified xsi:type="dcterms:W3CDTF">2020-04-06T06:30:00Z</dcterms:modified>
</cp:coreProperties>
</file>