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9" w:rsidRDefault="008A4099" w:rsidP="008A4099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87557D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8A4099" w:rsidRDefault="008A4099" w:rsidP="008A4099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0D6640">
        <w:rPr>
          <w:rFonts w:ascii="Times New Roman" w:hAnsi="Times New Roman"/>
          <w:noProof/>
          <w:sz w:val="24"/>
          <w:szCs w:val="24"/>
          <w:lang w:val="uk-UA"/>
        </w:rPr>
        <w:t>31</w:t>
      </w:r>
      <w:r>
        <w:rPr>
          <w:rFonts w:ascii="Times New Roman" w:hAnsi="Times New Roman"/>
          <w:noProof/>
          <w:sz w:val="24"/>
          <w:szCs w:val="24"/>
          <w:lang w:val="uk-UA"/>
        </w:rPr>
        <w:t>.0</w:t>
      </w:r>
      <w:r w:rsidR="000D6640">
        <w:rPr>
          <w:rFonts w:ascii="Times New Roman" w:hAnsi="Times New Roman"/>
          <w:noProof/>
          <w:sz w:val="24"/>
          <w:szCs w:val="24"/>
          <w:lang w:val="uk-UA"/>
        </w:rPr>
        <w:t>5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.19 року № </w:t>
      </w:r>
      <w:r w:rsidR="00A521E5">
        <w:rPr>
          <w:rFonts w:ascii="Times New Roman" w:hAnsi="Times New Roman"/>
          <w:noProof/>
          <w:sz w:val="24"/>
          <w:szCs w:val="24"/>
          <w:lang w:val="uk-UA"/>
        </w:rPr>
        <w:t>57</w:t>
      </w:r>
    </w:p>
    <w:p w:rsidR="008A4099" w:rsidRDefault="008A4099" w:rsidP="008A4099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A4099" w:rsidRDefault="008A4099" w:rsidP="008A409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0F4C82" w:rsidRPr="0074081C" w:rsidRDefault="008A4099" w:rsidP="008A4099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 xml:space="preserve"> </w:t>
      </w:r>
      <w:r w:rsidR="000F4C82">
        <w:rPr>
          <w:rStyle w:val="rvts15"/>
          <w:noProof/>
        </w:rPr>
        <w:t xml:space="preserve"> </w:t>
      </w:r>
      <w:r w:rsidR="00533A41">
        <w:rPr>
          <w:rStyle w:val="rvts15"/>
          <w:noProof/>
        </w:rPr>
        <w:t>з</w:t>
      </w:r>
      <w:r w:rsidR="000F4C82">
        <w:rPr>
          <w:rStyle w:val="rvts15"/>
          <w:noProof/>
        </w:rPr>
        <w:t xml:space="preserve">авідувача сектору </w:t>
      </w:r>
      <w:r w:rsidR="0087557D">
        <w:rPr>
          <w:rStyle w:val="rvts15"/>
          <w:noProof/>
        </w:rPr>
        <w:t>документування та контролю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8A4099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8A4099" w:rsidRPr="000D6640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2EC" w:rsidRPr="00EC47FA" w:rsidRDefault="008157C4" w:rsidP="008258F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8157C4">
              <w:rPr>
                <w:rFonts w:ascii="Times New Roman" w:hAnsi="Times New Roman"/>
                <w:noProof/>
                <w:lang w:val="uk-UA"/>
              </w:rPr>
              <w:t>Здійснює приймання та первинне опраціювання</w:t>
            </w:r>
            <w:r>
              <w:rPr>
                <w:rFonts w:ascii="Times New Roman" w:hAnsi="Times New Roman"/>
                <w:noProof/>
                <w:lang w:val="uk-UA"/>
              </w:rPr>
              <w:t xml:space="preserve"> документів, що надходять до Інспекції, попередній розгляд документів, їх реєстрацію, своєчасне надходження документів до керівників структурних підрозділів Інспекції або </w:t>
            </w:r>
            <w:r w:rsidR="00EC47FA">
              <w:rPr>
                <w:rFonts w:ascii="Times New Roman" w:hAnsi="Times New Roman"/>
                <w:noProof/>
                <w:lang w:val="uk-UA"/>
              </w:rPr>
              <w:t>безпосередніх виконавців цих документів, здійснює відправлення вихідних документів</w:t>
            </w:r>
          </w:p>
          <w:p w:rsidR="00EC47FA" w:rsidRPr="00EC47FA" w:rsidRDefault="00EC47FA" w:rsidP="008258F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Забезпечує оперативне проходження, правильний облік документів, у тому числі документів з грифом «Для службового користування»</w:t>
            </w:r>
          </w:p>
          <w:p w:rsidR="00EC47FA" w:rsidRPr="0030085F" w:rsidRDefault="0030085F" w:rsidP="008258F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Звітує, в межах компетенції, щодо стану виконавської дисципліни в Інспекції</w:t>
            </w:r>
          </w:p>
          <w:p w:rsidR="0030085F" w:rsidRPr="00CD18B0" w:rsidRDefault="00D7221C" w:rsidP="008258F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Забезпечує прийом звернень громадян на телефонну «гарячу лінію» Інспекції та звернень, які надходять до Інспекції</w:t>
            </w:r>
            <w:r w:rsidR="00CD18B0">
              <w:rPr>
                <w:rFonts w:ascii="Times New Roman" w:hAnsi="Times New Roman"/>
                <w:noProof/>
                <w:lang w:val="uk-UA"/>
              </w:rPr>
              <w:t>і ншими засобами зв</w:t>
            </w:r>
            <w:r w:rsidR="00CD18B0" w:rsidRPr="00CD18B0">
              <w:rPr>
                <w:rFonts w:ascii="Times New Roman" w:hAnsi="Times New Roman"/>
                <w:noProof/>
              </w:rPr>
              <w:t>”</w:t>
            </w:r>
            <w:r w:rsidR="00CD18B0">
              <w:rPr>
                <w:rFonts w:ascii="Times New Roman" w:hAnsi="Times New Roman"/>
                <w:noProof/>
                <w:lang w:val="uk-UA"/>
              </w:rPr>
              <w:t>язку</w:t>
            </w:r>
          </w:p>
          <w:p w:rsidR="00CD18B0" w:rsidRPr="00CD18B0" w:rsidRDefault="00CD18B0" w:rsidP="008258F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Забезпечує дотримання єдиного порядку відбору, обліку, схоронності та використання документів</w:t>
            </w:r>
          </w:p>
          <w:p w:rsidR="00CD18B0" w:rsidRPr="00CD18B0" w:rsidRDefault="00CD18B0" w:rsidP="008258F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методичне керівництво і контроль за формуванням справ в Інспекції</w:t>
            </w:r>
          </w:p>
          <w:p w:rsidR="00CD18B0" w:rsidRPr="008157C4" w:rsidRDefault="00E7487B" w:rsidP="008258F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Координує роботу з питань надання методичної і практичної допомоги структурним підрозділам Інспекції з питань ведення діловодства, а також організаціїконтролю за мвиконанням документів вищих органів виконавчої влади, звернень громадян, громадських організацій, які надійшли, у тому числі, з органів державної влади</w:t>
            </w:r>
            <w:r w:rsidR="00C66E65">
              <w:rPr>
                <w:rFonts w:ascii="Times New Roman" w:hAnsi="Times New Roman"/>
                <w:noProof/>
                <w:lang w:val="uk-UA"/>
              </w:rPr>
              <w:t xml:space="preserve"> та засобів масової інформації</w:t>
            </w:r>
          </w:p>
          <w:p w:rsidR="008A4099" w:rsidRPr="008157C4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157C4" w:rsidRDefault="008A4099" w:rsidP="006C7C3D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15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 </w:t>
            </w:r>
            <w:r w:rsidR="008E62EC" w:rsidRPr="00815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5810</w:t>
            </w:r>
            <w:r w:rsidRPr="00815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8A4099" w:rsidRPr="008157C4" w:rsidRDefault="008A4099" w:rsidP="006C7C3D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15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8157C4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>безстроково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 xml:space="preserve">2. </w:t>
            </w:r>
            <w:proofErr w:type="gramStart"/>
            <w:r w:rsidRPr="008157C4">
              <w:rPr>
                <w:noProof/>
                <w:lang w:val="ru-RU" w:eastAsia="ru-RU"/>
              </w:rPr>
              <w:t>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  <w:proofErr w:type="gramEnd"/>
          </w:p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8157C4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157C4">
              <w:rPr>
                <w:noProof/>
                <w:lang w:val="ru-RU" w:eastAsia="ru-RU"/>
              </w:rPr>
              <w:t xml:space="preserve"> або </w:t>
            </w:r>
            <w:hyperlink r:id="rId6" w:anchor="n14" w:tgtFrame="_blank" w:history="1">
              <w:r w:rsidRPr="008157C4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157C4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</w:t>
            </w:r>
            <w:r w:rsidRPr="008157C4">
              <w:rPr>
                <w:noProof/>
                <w:lang w:val="ru-RU" w:eastAsia="ru-RU"/>
              </w:rPr>
              <w:lastRenderedPageBreak/>
              <w:t>проходження перевірки та на оприлюднення відомостей стосовно неї відповідно до зазначеного Закону.</w:t>
            </w:r>
          </w:p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8A4099" w:rsidRPr="008157C4" w:rsidRDefault="008A4099" w:rsidP="006C7C3D">
            <w:pPr>
              <w:ind w:left="87" w:right="16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57C4">
              <w:rPr>
                <w:rFonts w:ascii="Times New Roman" w:hAnsi="Times New Roman"/>
                <w:noProof/>
                <w:sz w:val="24"/>
                <w:szCs w:val="24"/>
              </w:rPr>
              <w:t xml:space="preserve">8. </w:t>
            </w:r>
            <w:r w:rsidRPr="008157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</w:t>
            </w:r>
            <w:proofErr w:type="gramStart"/>
            <w:r w:rsidRPr="008157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8157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8A4099" w:rsidRPr="008157C4" w:rsidRDefault="008A4099" w:rsidP="006C7C3D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157C4">
              <w:rPr>
                <w:noProof/>
                <w:lang w:val="ru-RU" w:eastAsia="ru-RU"/>
              </w:rPr>
              <w:t xml:space="preserve">Документи приймаються </w:t>
            </w:r>
            <w:r w:rsidRPr="008157C4">
              <w:rPr>
                <w:b/>
                <w:noProof/>
                <w:lang w:val="ru-RU" w:eastAsia="ru-RU"/>
              </w:rPr>
              <w:t xml:space="preserve">до </w:t>
            </w:r>
            <w:r w:rsidR="008E62EC" w:rsidRPr="008157C4">
              <w:rPr>
                <w:b/>
                <w:noProof/>
                <w:lang w:val="ru-RU" w:eastAsia="ru-RU"/>
              </w:rPr>
              <w:t>17</w:t>
            </w:r>
            <w:r w:rsidRPr="008157C4">
              <w:rPr>
                <w:b/>
                <w:noProof/>
                <w:lang w:val="ru-RU" w:eastAsia="ru-RU"/>
              </w:rPr>
              <w:t xml:space="preserve"> год  </w:t>
            </w:r>
            <w:r w:rsidR="008E62EC" w:rsidRPr="008157C4">
              <w:rPr>
                <w:b/>
                <w:noProof/>
                <w:lang w:val="ru-RU" w:eastAsia="ru-RU"/>
              </w:rPr>
              <w:t>30</w:t>
            </w:r>
            <w:r w:rsidRPr="008157C4">
              <w:rPr>
                <w:b/>
                <w:noProof/>
                <w:lang w:val="ru-RU" w:eastAsia="ru-RU"/>
              </w:rPr>
              <w:t xml:space="preserve"> хв.</w:t>
            </w:r>
          </w:p>
          <w:p w:rsidR="008A4099" w:rsidRPr="008157C4" w:rsidRDefault="008E62EC" w:rsidP="008E62EC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157C4">
              <w:rPr>
                <w:b/>
                <w:noProof/>
                <w:lang w:val="ru-RU" w:eastAsia="ru-RU"/>
              </w:rPr>
              <w:t>18 червня</w:t>
            </w:r>
            <w:r w:rsidR="008A4099" w:rsidRPr="008157C4">
              <w:rPr>
                <w:b/>
                <w:noProof/>
                <w:lang w:val="ru-RU" w:eastAsia="ru-RU"/>
              </w:rPr>
              <w:t xml:space="preserve"> 2019 року</w:t>
            </w:r>
            <w:r w:rsidR="008A4099" w:rsidRPr="008157C4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8C6FDD" w:rsidRDefault="008A4099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8A4099" w:rsidRPr="008C6FDD" w:rsidRDefault="008A4099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Pr="008C6FDD">
              <w:rPr>
                <w:b/>
                <w:noProof/>
                <w:lang w:val="ru-RU" w:eastAsia="ru-RU"/>
              </w:rPr>
              <w:t xml:space="preserve">21 </w:t>
            </w:r>
            <w:r w:rsidR="008E62EC">
              <w:rPr>
                <w:b/>
                <w:noProof/>
                <w:lang w:val="ru-RU" w:eastAsia="ru-RU"/>
              </w:rPr>
              <w:t>червня</w:t>
            </w:r>
            <w:r w:rsidRPr="008C6FDD">
              <w:rPr>
                <w:b/>
                <w:noProof/>
                <w:lang w:val="ru-RU" w:eastAsia="ru-RU"/>
              </w:rPr>
              <w:t xml:space="preserve"> 2019 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8A4099" w:rsidRPr="008C6FDD" w:rsidRDefault="008A4099" w:rsidP="006C7C3D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E62EC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Бойчук Тетяна Віталіївна</w:t>
            </w:r>
            <w:r w:rsidR="008A4099" w:rsidRPr="008C6FDD">
              <w:rPr>
                <w:noProof/>
                <w:lang w:val="ru-RU" w:eastAsia="ru-RU"/>
              </w:rPr>
              <w:t>,</w:t>
            </w:r>
          </w:p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8A4099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70473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A4099" w:rsidP="0037026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 xml:space="preserve">вища, магістр 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70473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A4099" w:rsidRPr="00BF7B2F" w:rsidTr="006C7C3D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70473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8A4099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Default="00774F95" w:rsidP="006C7C3D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8A4099" w:rsidRPr="00BF7B2F" w:rsidTr="006C7C3D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Default="008A4099" w:rsidP="006C7C3D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 xml:space="preserve">міння </w:t>
            </w:r>
            <w:r>
              <w:rPr>
                <w:noProof/>
                <w:lang w:val="ru-RU" w:eastAsia="ru-RU"/>
              </w:rPr>
              <w:t>визначати пріоритети</w:t>
            </w:r>
            <w:r w:rsidRPr="00670473">
              <w:rPr>
                <w:noProof/>
                <w:lang w:val="ru-RU" w:eastAsia="ru-RU"/>
              </w:rPr>
              <w:t>;</w:t>
            </w:r>
          </w:p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аргументовано доводими власну точку зору;</w:t>
            </w:r>
          </w:p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навички розв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язання проблем</w:t>
            </w:r>
          </w:p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lastRenderedPageBreak/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B76F9C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>
              <w:rPr>
                <w:noProof/>
                <w:lang w:val="ru-RU" w:eastAsia="ru-RU"/>
              </w:rPr>
              <w:t xml:space="preserve">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інноваційність</w:t>
            </w:r>
          </w:p>
        </w:tc>
      </w:tr>
      <w:tr w:rsidR="008A4099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A1B76" w:rsidRDefault="008A4099" w:rsidP="006C7C3D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8A4099" w:rsidRPr="00BF7B2F" w:rsidTr="006C7C3D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FC1331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FC1331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8A4099" w:rsidRPr="00FC1331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8A4099" w:rsidRPr="00A521E5" w:rsidTr="006C7C3D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DA6CA0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0FB" w:rsidRDefault="008A4099" w:rsidP="00C800FB">
            <w:pPr>
              <w:pStyle w:val="rvps14"/>
              <w:spacing w:before="0" w:beforeAutospacing="0" w:after="0" w:afterAutospacing="0"/>
              <w:ind w:left="113" w:right="113"/>
            </w:pPr>
            <w:r>
              <w:rPr>
                <w:sz w:val="28"/>
                <w:szCs w:val="28"/>
              </w:rPr>
              <w:t xml:space="preserve"> </w:t>
            </w:r>
            <w:r w:rsidR="00C800FB" w:rsidRPr="00C800FB">
              <w:t>- Закон України «Про центральні органи виконавчої влади»</w:t>
            </w:r>
          </w:p>
          <w:p w:rsidR="00C800FB" w:rsidRDefault="00C800FB" w:rsidP="00C800FB">
            <w:pPr>
              <w:pStyle w:val="rvps14"/>
              <w:spacing w:before="0" w:beforeAutospacing="0" w:after="0" w:afterAutospacing="0"/>
              <w:ind w:left="113" w:right="113"/>
            </w:pPr>
            <w:r>
              <w:t xml:space="preserve">- </w:t>
            </w:r>
            <w:r w:rsidR="008059CA">
              <w:t>Закон України «Про національний архівний фонд та архівні установи»</w:t>
            </w:r>
          </w:p>
          <w:p w:rsidR="008059CA" w:rsidRDefault="008059CA" w:rsidP="00C800FB">
            <w:pPr>
              <w:pStyle w:val="rvps14"/>
              <w:spacing w:before="0" w:beforeAutospacing="0" w:after="0" w:afterAutospacing="0"/>
              <w:ind w:left="113" w:right="113"/>
            </w:pPr>
            <w:r>
              <w:t>- Постанов</w:t>
            </w:r>
            <w:r w:rsidR="00CA7546">
              <w:t>а</w:t>
            </w:r>
            <w:r>
              <w:t xml:space="preserve"> КМУ від </w:t>
            </w:r>
            <w:r w:rsidR="00CA7546">
              <w:t>17.01.18 № 55 «Деякі питання документування управлінської діяльності»</w:t>
            </w:r>
          </w:p>
          <w:p w:rsidR="00CA7546" w:rsidRPr="00C800FB" w:rsidRDefault="00CA7546" w:rsidP="00C800FB">
            <w:pPr>
              <w:pStyle w:val="rvps14"/>
              <w:spacing w:before="0" w:beforeAutospacing="0" w:after="0" w:afterAutospacing="0"/>
              <w:ind w:left="113" w:right="113"/>
            </w:pPr>
            <w:r>
              <w:t>- Постанова КМУ від 08.08.17 № 1004 «Про проведення експертизи цінності документів»</w:t>
            </w:r>
          </w:p>
          <w:p w:rsidR="008A4099" w:rsidRPr="00CA7546" w:rsidRDefault="00CA7546" w:rsidP="00C800FB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- Постанова КМУ від 19.10.16 №   </w:t>
            </w:r>
            <w:r w:rsidR="007E1A7E">
              <w:rPr>
                <w:noProof/>
                <w:lang w:eastAsia="ru-RU"/>
              </w:rPr>
              <w:t>736 «Про затвердження 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»</w:t>
            </w:r>
          </w:p>
          <w:p w:rsidR="008A4099" w:rsidRPr="007E1A7E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eastAsia="ru-RU"/>
              </w:rPr>
            </w:pP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136F00" w:rsidRDefault="008A4099" w:rsidP="006C7C3D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8A4099" w:rsidRPr="005C7889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136F00" w:rsidRDefault="008A4099" w:rsidP="006C7C3D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5C7889" w:rsidRDefault="008A4099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5C788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5C788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Vord</w:t>
            </w:r>
            <w:r w:rsidRPr="00E00BC3">
              <w:rPr>
                <w:noProof/>
                <w:lang w:eastAsia="ru-RU"/>
              </w:rPr>
              <w:t xml:space="preserve">. </w:t>
            </w:r>
            <w:r>
              <w:rPr>
                <w:noProof/>
                <w:lang w:val="en-US" w:eastAsia="ru-RU"/>
              </w:rPr>
              <w:t>Excel</w:t>
            </w:r>
            <w:r w:rsidRPr="00E00BC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E00BC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791B2A" w:rsidRDefault="008A4099" w:rsidP="006C7C3D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8A4099" w:rsidRDefault="008A4099" w:rsidP="006C7C3D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8A4099" w:rsidSect="0041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E9C"/>
    <w:multiLevelType w:val="hybridMultilevel"/>
    <w:tmpl w:val="415CD936"/>
    <w:lvl w:ilvl="0" w:tplc="C9880B20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A4099"/>
    <w:rsid w:val="000D6640"/>
    <w:rsid w:val="000F4C82"/>
    <w:rsid w:val="00281574"/>
    <w:rsid w:val="0030085F"/>
    <w:rsid w:val="0037026F"/>
    <w:rsid w:val="00416CC6"/>
    <w:rsid w:val="00454D6C"/>
    <w:rsid w:val="00533A41"/>
    <w:rsid w:val="005B70D7"/>
    <w:rsid w:val="00600A61"/>
    <w:rsid w:val="00684FE2"/>
    <w:rsid w:val="00774F95"/>
    <w:rsid w:val="007E1A7E"/>
    <w:rsid w:val="008059CA"/>
    <w:rsid w:val="008157C4"/>
    <w:rsid w:val="008258F5"/>
    <w:rsid w:val="0087557D"/>
    <w:rsid w:val="008A4099"/>
    <w:rsid w:val="008E62EC"/>
    <w:rsid w:val="009663A4"/>
    <w:rsid w:val="00A521E5"/>
    <w:rsid w:val="00A52745"/>
    <w:rsid w:val="00AD540E"/>
    <w:rsid w:val="00B76C79"/>
    <w:rsid w:val="00C00B24"/>
    <w:rsid w:val="00C66E65"/>
    <w:rsid w:val="00C800FB"/>
    <w:rsid w:val="00C94D13"/>
    <w:rsid w:val="00CA7546"/>
    <w:rsid w:val="00CD18B0"/>
    <w:rsid w:val="00D23BC9"/>
    <w:rsid w:val="00D7221C"/>
    <w:rsid w:val="00D8129D"/>
    <w:rsid w:val="00E274D5"/>
    <w:rsid w:val="00E7487B"/>
    <w:rsid w:val="00EC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9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4099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A4099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8A40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8A4099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82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Святославівна</cp:lastModifiedBy>
  <cp:revision>22</cp:revision>
  <cp:lastPrinted>2019-05-31T07:28:00Z</cp:lastPrinted>
  <dcterms:created xsi:type="dcterms:W3CDTF">2019-04-22T09:52:00Z</dcterms:created>
  <dcterms:modified xsi:type="dcterms:W3CDTF">2019-05-31T07:49:00Z</dcterms:modified>
</cp:coreProperties>
</file>