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3 </w:t>
      </w: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8A4099" w:rsidRDefault="008A4099" w:rsidP="008A4099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від  22.04.19 року № 41</w:t>
      </w:r>
    </w:p>
    <w:p w:rsidR="008A4099" w:rsidRDefault="008A4099" w:rsidP="008A4099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A4099" w:rsidRDefault="008A4099" w:rsidP="008A409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8A4099" w:rsidRPr="0074081C" w:rsidRDefault="008A4099" w:rsidP="008A4099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 xml:space="preserve"> Заступник начальника відділу державного екологічного нагляду (контролю) водних ресурсів -  старшого державного  інспектора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8A4099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8A4099" w:rsidRPr="00E274D5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здійснення державного нагляду (контролю) за додержанням природоохоронного законодавства підприємствами, організаціями незалежно від форми власності і господарювання,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повноважень; 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узагальнення та подання на розгляд керівництву Інспекції аналітичних матеріалів, довідок, тощо з питань здійснення державного нагляду (контролю) у сфері охорони і раціонального використання поверхневих та підземних вод;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організація роботи Відділу;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контроль термінів виконання та оцінка якості роботи підпорядкованих працівників;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- проведення грунтовного аналізу матеріалів перевірок інспекторського складу відділу;</w:t>
            </w:r>
          </w:p>
          <w:p w:rsidR="008A4099" w:rsidRPr="008A162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- організація збору, узагальнення звітів, інформацій з питань, що стосуються охорони і раціонального використання поверхневих  та підземних вод;                    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BF7B2F" w:rsidRDefault="008A4099" w:rsidP="006C7C3D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6200</w:t>
            </w: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8A4099" w:rsidRPr="00BF7B2F" w:rsidRDefault="008A4099" w:rsidP="006C7C3D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безстроково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2. </w:t>
            </w:r>
            <w:proofErr w:type="gramStart"/>
            <w:r w:rsidRPr="008C6FDD">
              <w:rPr>
                <w:noProof/>
                <w:lang w:val="ru-RU" w:eastAsia="ru-RU"/>
              </w:rPr>
              <w:t>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  <w:proofErr w:type="gramEnd"/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C6FDD">
              <w:rPr>
                <w:noProof/>
                <w:lang w:val="ru-RU" w:eastAsia="ru-RU"/>
              </w:rPr>
              <w:t xml:space="preserve"> або </w:t>
            </w:r>
            <w:hyperlink r:id="rId6" w:anchor="n14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C6FDD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</w:t>
            </w:r>
            <w:r w:rsidRPr="008C6FDD">
              <w:rPr>
                <w:noProof/>
                <w:lang w:val="ru-RU" w:eastAsia="ru-RU"/>
              </w:rPr>
              <w:lastRenderedPageBreak/>
              <w:t>зазначеного Закону.</w:t>
            </w:r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8A4099" w:rsidRPr="008C6FDD" w:rsidRDefault="008A4099" w:rsidP="006C7C3D">
            <w:pPr>
              <w:ind w:left="87" w:right="164"/>
              <w:jc w:val="both"/>
              <w:rPr>
                <w:sz w:val="24"/>
                <w:szCs w:val="24"/>
                <w:lang w:val="uk-UA" w:eastAsia="uk-UA"/>
              </w:rPr>
            </w:pPr>
            <w:r w:rsidRPr="008C6FDD">
              <w:rPr>
                <w:noProof/>
                <w:sz w:val="24"/>
                <w:szCs w:val="24"/>
              </w:rPr>
              <w:t xml:space="preserve">8. </w:t>
            </w:r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</w:t>
            </w:r>
            <w:proofErr w:type="gramStart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Документи приймаються </w:t>
            </w:r>
            <w:r w:rsidRPr="008C6FDD">
              <w:rPr>
                <w:b/>
                <w:noProof/>
                <w:lang w:val="ru-RU" w:eastAsia="ru-RU"/>
              </w:rPr>
              <w:t>до  18 год  00 хв.</w:t>
            </w:r>
          </w:p>
          <w:p w:rsidR="008A4099" w:rsidRPr="008C6FDD" w:rsidRDefault="008A4099" w:rsidP="006C7C3D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b/>
                <w:noProof/>
                <w:lang w:val="ru-RU" w:eastAsia="ru-RU"/>
              </w:rPr>
              <w:t>15 травня 2019 року</w:t>
            </w:r>
            <w:r w:rsidRPr="008C6FDD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8C6FDD" w:rsidRDefault="008A4099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8A4099" w:rsidRPr="008C6FDD" w:rsidRDefault="008A4099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Pr="008C6FDD">
              <w:rPr>
                <w:b/>
                <w:noProof/>
                <w:lang w:val="ru-RU" w:eastAsia="ru-RU"/>
              </w:rPr>
              <w:t xml:space="preserve">20-21 травня 2019 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8A4099" w:rsidRPr="008C6FDD" w:rsidRDefault="008A4099" w:rsidP="006C7C3D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8A4099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Пасічна Світлана Святославівна,</w:t>
            </w:r>
          </w:p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8A4099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70473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70473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A4099" w:rsidRPr="00BF7B2F" w:rsidTr="006C7C3D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70473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8C6FDD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8A4099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Default="00774F95" w:rsidP="006C7C3D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8A4099" w:rsidRPr="00BF7B2F" w:rsidTr="006C7C3D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Default="008A4099" w:rsidP="006C7C3D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 xml:space="preserve">міння </w:t>
            </w:r>
            <w:r>
              <w:rPr>
                <w:noProof/>
                <w:lang w:val="ru-RU" w:eastAsia="ru-RU"/>
              </w:rPr>
              <w:t>визначати пріоритети</w:t>
            </w:r>
            <w:r w:rsidRPr="00670473">
              <w:rPr>
                <w:noProof/>
                <w:lang w:val="ru-RU" w:eastAsia="ru-RU"/>
              </w:rPr>
              <w:t>;</w:t>
            </w:r>
          </w:p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аргументовано доводими власну точку зору;</w:t>
            </w:r>
          </w:p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навички розв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язання проблем</w:t>
            </w:r>
          </w:p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7047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B76F9C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>
              <w:rPr>
                <w:noProof/>
                <w:lang w:val="ru-RU" w:eastAsia="ru-RU"/>
              </w:rPr>
              <w:t xml:space="preserve"> з </w:t>
            </w:r>
            <w:r>
              <w:rPr>
                <w:noProof/>
                <w:lang w:val="ru-RU" w:eastAsia="ru-RU"/>
              </w:rPr>
              <w:lastRenderedPageBreak/>
              <w:t xml:space="preserve">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8A4099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lastRenderedPageBreak/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інноваційність</w:t>
            </w:r>
          </w:p>
        </w:tc>
      </w:tr>
      <w:tr w:rsidR="008A4099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6A1B76" w:rsidRDefault="008A4099" w:rsidP="006C7C3D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8A4099" w:rsidRPr="00BF7B2F" w:rsidTr="006C7C3D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FC1331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FC1331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8A4099" w:rsidRPr="00FC1331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8A4099" w:rsidRPr="00BF7B2F" w:rsidTr="006C7C3D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DA6CA0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099" w:rsidRPr="00066B4C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</w:t>
            </w:r>
            <w:r w:rsidRPr="00066B4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Водний кодекс України</w:t>
            </w:r>
          </w:p>
          <w:p w:rsidR="008A4099" w:rsidRPr="00066B4C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 Міністерства екології та природних ресурсів України, Держекоінспекції України;</w:t>
            </w:r>
          </w:p>
          <w:p w:rsidR="008A4099" w:rsidRPr="00066B4C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Земельний кодекс України;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8A4099" w:rsidRPr="00066B4C" w:rsidRDefault="008A4099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України про надра</w:t>
            </w:r>
          </w:p>
          <w:p w:rsidR="008A4099" w:rsidRDefault="008A4099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136F00" w:rsidRDefault="008A4099" w:rsidP="006C7C3D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8A4099" w:rsidRPr="005C7889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136F00" w:rsidRDefault="008A4099" w:rsidP="006C7C3D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5C7889" w:rsidRDefault="008A4099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5C788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5C788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Vord</w:t>
            </w:r>
            <w:r w:rsidRPr="00E00BC3">
              <w:rPr>
                <w:noProof/>
                <w:lang w:eastAsia="ru-RU"/>
              </w:rPr>
              <w:t xml:space="preserve">. </w:t>
            </w:r>
            <w:r>
              <w:rPr>
                <w:noProof/>
                <w:lang w:val="en-US" w:eastAsia="ru-RU"/>
              </w:rPr>
              <w:t>Excel</w:t>
            </w:r>
            <w:r w:rsidRPr="00E00BC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8A4099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E00BC3" w:rsidRDefault="008A4099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791B2A" w:rsidRDefault="008A4099" w:rsidP="006C7C3D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8A4099" w:rsidRPr="006A1B76" w:rsidRDefault="008A4099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8A4099" w:rsidRDefault="008A4099" w:rsidP="006C7C3D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8A4099" w:rsidRDefault="008A4099" w:rsidP="008A4099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8A4099" w:rsidSect="0041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A4099"/>
    <w:rsid w:val="00416CC6"/>
    <w:rsid w:val="00774F95"/>
    <w:rsid w:val="008A4099"/>
    <w:rsid w:val="009663A4"/>
    <w:rsid w:val="00C94D13"/>
    <w:rsid w:val="00E2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9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4099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A40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A4099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8A40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8A40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3711</Words>
  <Characters>2116</Characters>
  <Application>Microsoft Office Word</Application>
  <DocSecurity>0</DocSecurity>
  <Lines>17</Lines>
  <Paragraphs>11</Paragraphs>
  <ScaleCrop>false</ScaleCrop>
  <Company>Krokoz™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4</cp:revision>
  <dcterms:created xsi:type="dcterms:W3CDTF">2019-04-22T09:52:00Z</dcterms:created>
  <dcterms:modified xsi:type="dcterms:W3CDTF">2019-04-22T12:48:00Z</dcterms:modified>
</cp:coreProperties>
</file>